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30.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28"/>
          <w:szCs w:val="28"/>
        </w:rPr>
      </w:pPr>
      <w:r>
        <w:rPr>
          <w:b/>
          <w:bCs/>
          <w:sz w:val="28"/>
          <w:szCs w:val="28"/>
        </w:rPr>
        <w:t xml:space="preserve">IMPLEMENTASI PERJANJIAN </w:t>
      </w:r>
      <w:r>
        <w:rPr>
          <w:b/>
          <w:bCs/>
          <w:i/>
          <w:iCs/>
          <w:sz w:val="28"/>
          <w:szCs w:val="28"/>
        </w:rPr>
        <w:t xml:space="preserve">SAFE THIRD COUNTRY </w:t>
      </w:r>
      <w:r>
        <w:rPr>
          <w:b/>
          <w:bCs/>
          <w:sz w:val="28"/>
          <w:szCs w:val="28"/>
        </w:rPr>
        <w:t>ANTARA AMERIKA SERIKAT DAN GUATEMALA (2019–2020) PADA MASA PEMERINTAHAN TRUMP</w:t>
      </w:r>
    </w:p>
    <w:p>
      <w:pPr>
        <w:jc w:val="center"/>
        <w:rPr>
          <w:b/>
          <w:sz w:val="24"/>
          <w:szCs w:val="24"/>
        </w:rPr>
      </w:pPr>
      <w:r>
        <w:rPr>
          <w:rFonts w:hint="default"/>
          <w:b/>
          <w:sz w:val="24"/>
          <w:szCs w:val="24"/>
          <w:lang w:val="en-US"/>
        </w:rPr>
        <w:t>ESTRELLA NATALIE INDAHWATI</w:t>
      </w:r>
      <w:r>
        <w:rPr>
          <w:rStyle w:val="6"/>
          <w:b/>
          <w:sz w:val="24"/>
          <w:szCs w:val="24"/>
        </w:rPr>
        <w:footnoteReference w:id="0"/>
      </w:r>
    </w:p>
    <w:p>
      <w:pPr>
        <w:jc w:val="center"/>
        <w:rPr>
          <w:b/>
          <w:sz w:val="24"/>
          <w:szCs w:val="24"/>
        </w:rPr>
      </w:pPr>
    </w:p>
    <w:p>
      <w:pPr>
        <w:jc w:val="center"/>
        <w:rPr>
          <w:b/>
          <w:i/>
          <w:sz w:val="24"/>
          <w:szCs w:val="24"/>
        </w:rPr>
      </w:pPr>
      <w:r>
        <w:rPr>
          <w:b/>
          <w:i/>
          <w:sz w:val="24"/>
          <w:szCs w:val="24"/>
        </w:rPr>
        <w:t>Abstract</w:t>
      </w:r>
    </w:p>
    <w:p>
      <w:pPr>
        <w:ind w:left="1134" w:right="900"/>
        <w:jc w:val="both"/>
        <w:rPr>
          <w:rFonts w:hint="default"/>
          <w:i/>
          <w:sz w:val="24"/>
          <w:szCs w:val="24"/>
          <w:lang w:val="en-US"/>
        </w:rPr>
      </w:pPr>
      <w:r>
        <w:rPr>
          <w:rFonts w:hint="default"/>
          <w:i/>
          <w:sz w:val="24"/>
          <w:szCs w:val="24"/>
          <w:lang w:val="en-US"/>
        </w:rPr>
        <w:t>This article aims to explain in detail how the implementation of the Safe Third Country Agreement between the United States and Guatemala in 2019-2020 (during the Trump administration). The theory used is the theory of functional cooperation. The results of this article indicate that the implementation of the Safe Third Country Agreement between the United States and Guatemala in 2019-2020 (during the Trump administration) explained that the agreement was not effective because the United States violated 2 verses in article 7 in this agreement. First verse, the United States will collaborate with Guatemala to identify the appropriate individuals to be transfered to Guatemala’s territory. Third verse, the United States plans to cooperate to strengthen the institutional capacities of Guatemala. Guatemala’s lack of technical capacity in managing asylum applications also makes this agreement less effecttive, where CONARE can only provide advice and cannot provide final recommendations on refugee status. In addition, the Covid-19 pandemic has also affected the implementation of this agreement, making it less effective.</w:t>
      </w:r>
    </w:p>
    <w:p>
      <w:pPr>
        <w:ind w:left="1134" w:right="900"/>
        <w:jc w:val="both"/>
        <w:rPr>
          <w:b/>
          <w:bCs/>
          <w:i/>
          <w:sz w:val="24"/>
          <w:szCs w:val="24"/>
        </w:rPr>
      </w:pPr>
      <w:r>
        <w:rPr>
          <w:b/>
          <w:i/>
          <w:sz w:val="24"/>
          <w:szCs w:val="24"/>
        </w:rPr>
        <w:t xml:space="preserve">Keywords : </w:t>
      </w:r>
      <w:r>
        <w:rPr>
          <w:rFonts w:hint="default" w:eastAsia="SimSun"/>
          <w:b/>
          <w:bCs/>
          <w:i/>
          <w:iCs/>
          <w:sz w:val="24"/>
          <w:szCs w:val="24"/>
          <w:lang w:val="en-US"/>
        </w:rPr>
        <w:t xml:space="preserve">Implementation of the </w:t>
      </w:r>
      <w:r>
        <w:rPr>
          <w:rFonts w:hint="default"/>
          <w:b/>
          <w:bCs/>
          <w:i/>
          <w:sz w:val="24"/>
          <w:szCs w:val="24"/>
          <w:lang w:val="en-US"/>
        </w:rPr>
        <w:t>Safe Third Country Agreement</w:t>
      </w:r>
      <w:r>
        <w:rPr>
          <w:b/>
          <w:bCs/>
          <w:i/>
          <w:sz w:val="24"/>
          <w:szCs w:val="24"/>
        </w:rPr>
        <w:t xml:space="preserve">, </w:t>
      </w:r>
      <w:r>
        <w:rPr>
          <w:rFonts w:hint="default"/>
          <w:b/>
          <w:bCs/>
          <w:i/>
          <w:sz w:val="24"/>
          <w:szCs w:val="24"/>
          <w:lang w:val="en-US"/>
        </w:rPr>
        <w:t>United States, Guatemala, Functional Cooperation</w:t>
      </w:r>
    </w:p>
    <w:p>
      <w:pPr>
        <w:ind w:left="1134" w:right="900" w:hanging="850"/>
        <w:jc w:val="both"/>
        <w:rPr>
          <w:b/>
          <w:sz w:val="24"/>
          <w:szCs w:val="24"/>
        </w:rPr>
      </w:pPr>
      <w:r>
        <w:rPr>
          <w:b/>
          <w:sz w:val="24"/>
          <w:szCs w:val="24"/>
        </w:rPr>
        <w:t>Pendahuluan</w:t>
      </w:r>
    </w:p>
    <w:p>
      <w:pPr>
        <w:ind w:left="284" w:right="191" w:firstLine="425"/>
        <w:jc w:val="both"/>
        <w:rPr>
          <w:rFonts w:hint="default"/>
          <w:sz w:val="24"/>
          <w:szCs w:val="24"/>
          <w:lang w:val="en-US"/>
        </w:rPr>
      </w:pPr>
      <w:r>
        <w:rPr>
          <w:sz w:val="24"/>
          <w:szCs w:val="24"/>
        </w:rPr>
        <w:t>Fenomena migrasi di Amerika Serikat (AS) telah mengalami peningkatan signifikan sejak dekade 2000an dengan jumlah migran legal yang masuk ke AS setiap tahunnya mencapai lebih dari 1.000.000 migran. Sementara migran yang masuk secara ilegal ke AS berjumlah sekitar setengah juta setiap tahunnya</w:t>
      </w:r>
      <w:r>
        <w:rPr>
          <w:rFonts w:hint="default"/>
          <w:sz w:val="24"/>
          <w:szCs w:val="24"/>
          <w:lang w:val="en-US"/>
        </w:rPr>
        <w:t xml:space="preserve"> (MPI. 2009)</w:t>
      </w:r>
      <w:r>
        <w:rPr>
          <w:sz w:val="24"/>
          <w:szCs w:val="24"/>
        </w:rPr>
        <w:t>.</w:t>
      </w:r>
      <w:r>
        <w:rPr>
          <w:rFonts w:hint="default"/>
          <w:sz w:val="24"/>
          <w:szCs w:val="24"/>
          <w:lang w:val="en-US"/>
        </w:rPr>
        <w:t xml:space="preserve"> </w:t>
      </w:r>
    </w:p>
    <w:p>
      <w:pPr>
        <w:ind w:left="284" w:right="191" w:firstLine="425"/>
        <w:jc w:val="both"/>
        <w:rPr>
          <w:rFonts w:hint="default"/>
          <w:sz w:val="24"/>
          <w:szCs w:val="24"/>
          <w:lang w:val="en-US"/>
        </w:rPr>
      </w:pPr>
      <w:r>
        <w:rPr>
          <w:rFonts w:hint="default"/>
          <w:sz w:val="24"/>
          <w:szCs w:val="24"/>
          <w:lang w:val="en-US"/>
        </w:rPr>
        <w:t>Migran terbagi ke dalam 2 kategori. Pertama, migran yang terkategori sebagai pengungsi (UNHCR Indonesia. 2017). Pengungsi yang datang ke AS berdasarkan negara asal mulai tahun 2016 hingga 2018 dapat dilihat pada tabel 1.1 berikut:</w:t>
      </w:r>
    </w:p>
    <w:p>
      <w:pPr>
        <w:jc w:val="center"/>
      </w:pPr>
      <w:r>
        <w:rPr>
          <w:rFonts w:eastAsia="Times New Roman"/>
          <w:b/>
          <w:bCs/>
          <w:sz w:val="24"/>
          <w:szCs w:val="24"/>
        </w:rPr>
        <w:t>Tabel 1 Kedatangan Pengungsi ke AS Berdasarkan Negara Asal Tahun 2016-2018</w:t>
      </w:r>
    </w:p>
    <w:tbl>
      <w:tblPr>
        <w:tblW w:w="830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143"/>
        <w:gridCol w:w="1110"/>
        <w:gridCol w:w="1173"/>
        <w:gridCol w:w="1222"/>
        <w:gridCol w:w="117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Merge w:val="restart"/>
            <w:vAlign w:val="top"/>
          </w:tcPr>
          <w:p>
            <w:pPr>
              <w:jc w:val="center"/>
              <w:rPr>
                <w:sz w:val="20"/>
              </w:rPr>
            </w:pPr>
          </w:p>
          <w:p>
            <w:pPr>
              <w:jc w:val="center"/>
              <w:rPr>
                <w:rFonts w:hint="default"/>
                <w:sz w:val="20"/>
                <w:lang w:val="en-US"/>
              </w:rPr>
            </w:pPr>
            <w:r>
              <w:rPr>
                <w:rFonts w:hint="default"/>
                <w:sz w:val="20"/>
                <w:lang w:val="en-US"/>
              </w:rPr>
              <w:t>Negara Kebangsaan</w:t>
            </w:r>
          </w:p>
        </w:tc>
        <w:tc>
          <w:tcPr>
            <w:tcW w:w="2253" w:type="dxa"/>
            <w:gridSpan w:val="2"/>
            <w:vAlign w:val="top"/>
          </w:tcPr>
          <w:p>
            <w:pPr>
              <w:jc w:val="center"/>
              <w:rPr>
                <w:sz w:val="20"/>
              </w:rPr>
            </w:pPr>
            <w:r>
              <w:rPr>
                <w:sz w:val="20"/>
              </w:rPr>
              <w:t>2016</w:t>
            </w:r>
          </w:p>
        </w:tc>
        <w:tc>
          <w:tcPr>
            <w:tcW w:w="2395" w:type="dxa"/>
            <w:gridSpan w:val="2"/>
            <w:vAlign w:val="top"/>
          </w:tcPr>
          <w:p>
            <w:pPr>
              <w:jc w:val="center"/>
              <w:rPr>
                <w:sz w:val="20"/>
              </w:rPr>
            </w:pPr>
            <w:r>
              <w:rPr>
                <w:sz w:val="20"/>
              </w:rPr>
              <w:t>2017</w:t>
            </w:r>
          </w:p>
        </w:tc>
        <w:tc>
          <w:tcPr>
            <w:tcW w:w="2430" w:type="dxa"/>
            <w:gridSpan w:val="2"/>
            <w:vAlign w:val="top"/>
          </w:tcPr>
          <w:p>
            <w:pPr>
              <w:jc w:val="center"/>
              <w:rPr>
                <w:sz w:val="20"/>
              </w:rPr>
            </w:pPr>
            <w:r>
              <w:rPr>
                <w:sz w:val="2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222" w:type="dxa"/>
            <w:vMerge w:val="continue"/>
            <w:vAlign w:val="top"/>
          </w:tcPr>
          <w:p>
            <w:pPr>
              <w:jc w:val="center"/>
              <w:rPr>
                <w:sz w:val="20"/>
              </w:rPr>
            </w:pPr>
          </w:p>
        </w:tc>
        <w:tc>
          <w:tcPr>
            <w:tcW w:w="1143" w:type="dxa"/>
            <w:vAlign w:val="top"/>
          </w:tcPr>
          <w:p>
            <w:pPr>
              <w:jc w:val="center"/>
              <w:rPr>
                <w:rFonts w:hint="default"/>
                <w:sz w:val="20"/>
                <w:lang w:val="en-US"/>
              </w:rPr>
            </w:pPr>
            <w:r>
              <w:rPr>
                <w:rFonts w:hint="default"/>
                <w:sz w:val="20"/>
                <w:lang w:val="en-US"/>
              </w:rPr>
              <w:t>Angka</w:t>
            </w:r>
          </w:p>
        </w:tc>
        <w:tc>
          <w:tcPr>
            <w:tcW w:w="1110" w:type="dxa"/>
            <w:vAlign w:val="top"/>
          </w:tcPr>
          <w:p>
            <w:pPr>
              <w:jc w:val="center"/>
              <w:rPr>
                <w:rFonts w:hint="default"/>
                <w:sz w:val="20"/>
                <w:lang w:val="en-US"/>
              </w:rPr>
            </w:pPr>
            <w:r>
              <w:rPr>
                <w:rFonts w:hint="default"/>
                <w:sz w:val="20"/>
                <w:lang w:val="en-US"/>
              </w:rPr>
              <w:t>Persen</w:t>
            </w:r>
          </w:p>
        </w:tc>
        <w:tc>
          <w:tcPr>
            <w:tcW w:w="1173" w:type="dxa"/>
            <w:vAlign w:val="top"/>
          </w:tcPr>
          <w:p>
            <w:pPr>
              <w:jc w:val="center"/>
              <w:rPr>
                <w:rFonts w:hint="default"/>
                <w:sz w:val="20"/>
                <w:lang w:val="en-US"/>
              </w:rPr>
            </w:pPr>
            <w:r>
              <w:rPr>
                <w:rFonts w:hint="default"/>
                <w:sz w:val="20"/>
                <w:lang w:val="en-US"/>
              </w:rPr>
              <w:t>Angka</w:t>
            </w:r>
          </w:p>
        </w:tc>
        <w:tc>
          <w:tcPr>
            <w:tcW w:w="1222" w:type="dxa"/>
            <w:vAlign w:val="top"/>
          </w:tcPr>
          <w:p>
            <w:pPr>
              <w:jc w:val="center"/>
              <w:rPr>
                <w:sz w:val="20"/>
              </w:rPr>
            </w:pPr>
            <w:r>
              <w:rPr>
                <w:sz w:val="20"/>
              </w:rPr>
              <w:t>Per</w:t>
            </w:r>
            <w:r>
              <w:rPr>
                <w:rFonts w:hint="default"/>
                <w:sz w:val="20"/>
                <w:lang w:val="en-US"/>
              </w:rPr>
              <w:t>sen</w:t>
            </w:r>
          </w:p>
        </w:tc>
        <w:tc>
          <w:tcPr>
            <w:tcW w:w="1175" w:type="dxa"/>
            <w:vAlign w:val="top"/>
          </w:tcPr>
          <w:p>
            <w:pPr>
              <w:jc w:val="center"/>
              <w:rPr>
                <w:rFonts w:hint="default"/>
                <w:sz w:val="20"/>
                <w:lang w:val="en-US"/>
              </w:rPr>
            </w:pPr>
            <w:r>
              <w:rPr>
                <w:rFonts w:hint="default"/>
                <w:sz w:val="20"/>
                <w:lang w:val="en-US"/>
              </w:rPr>
              <w:t>Angka</w:t>
            </w:r>
          </w:p>
        </w:tc>
        <w:tc>
          <w:tcPr>
            <w:tcW w:w="1255"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Total</w:t>
            </w:r>
          </w:p>
        </w:tc>
        <w:tc>
          <w:tcPr>
            <w:tcW w:w="1143" w:type="dxa"/>
            <w:vAlign w:val="top"/>
          </w:tcPr>
          <w:p>
            <w:pPr>
              <w:jc w:val="center"/>
              <w:rPr>
                <w:rFonts w:hint="default"/>
                <w:sz w:val="20"/>
                <w:lang w:val="en-US"/>
              </w:rPr>
            </w:pPr>
            <w:r>
              <w:rPr>
                <w:rFonts w:hint="default"/>
                <w:sz w:val="20"/>
                <w:lang w:val="en-US"/>
              </w:rPr>
              <w:t>10.867</w:t>
            </w:r>
          </w:p>
        </w:tc>
        <w:tc>
          <w:tcPr>
            <w:tcW w:w="1110" w:type="dxa"/>
            <w:vAlign w:val="top"/>
          </w:tcPr>
          <w:p>
            <w:pPr>
              <w:jc w:val="center"/>
              <w:rPr>
                <w:sz w:val="20"/>
              </w:rPr>
            </w:pPr>
            <w:r>
              <w:rPr>
                <w:sz w:val="20"/>
              </w:rPr>
              <w:t>100,0</w:t>
            </w:r>
          </w:p>
        </w:tc>
        <w:tc>
          <w:tcPr>
            <w:tcW w:w="1173" w:type="dxa"/>
            <w:vAlign w:val="top"/>
          </w:tcPr>
          <w:p>
            <w:pPr>
              <w:jc w:val="center"/>
              <w:rPr>
                <w:rFonts w:hint="default"/>
                <w:sz w:val="20"/>
                <w:lang w:val="en-US"/>
              </w:rPr>
            </w:pPr>
            <w:r>
              <w:rPr>
                <w:rFonts w:hint="default"/>
                <w:sz w:val="20"/>
                <w:lang w:val="en-US"/>
              </w:rPr>
              <w:t>7.902</w:t>
            </w:r>
          </w:p>
        </w:tc>
        <w:tc>
          <w:tcPr>
            <w:tcW w:w="1222" w:type="dxa"/>
            <w:vAlign w:val="top"/>
          </w:tcPr>
          <w:p>
            <w:pPr>
              <w:jc w:val="center"/>
              <w:rPr>
                <w:sz w:val="20"/>
              </w:rPr>
            </w:pPr>
            <w:r>
              <w:rPr>
                <w:sz w:val="20"/>
              </w:rPr>
              <w:t>100,0</w:t>
            </w:r>
          </w:p>
        </w:tc>
        <w:tc>
          <w:tcPr>
            <w:tcW w:w="1175" w:type="dxa"/>
            <w:vAlign w:val="top"/>
          </w:tcPr>
          <w:p>
            <w:pPr>
              <w:jc w:val="center"/>
              <w:rPr>
                <w:rFonts w:hint="default"/>
                <w:sz w:val="20"/>
                <w:lang w:val="en-US"/>
              </w:rPr>
            </w:pPr>
            <w:r>
              <w:rPr>
                <w:rFonts w:hint="default"/>
                <w:sz w:val="20"/>
                <w:lang w:val="en-US"/>
              </w:rPr>
              <w:t>5.027</w:t>
            </w:r>
          </w:p>
        </w:tc>
        <w:tc>
          <w:tcPr>
            <w:tcW w:w="1255"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Bhutan</w:t>
            </w:r>
          </w:p>
        </w:tc>
        <w:tc>
          <w:tcPr>
            <w:tcW w:w="1143" w:type="dxa"/>
            <w:vAlign w:val="top"/>
          </w:tcPr>
          <w:p>
            <w:pPr>
              <w:jc w:val="center"/>
              <w:rPr>
                <w:sz w:val="20"/>
              </w:rPr>
            </w:pPr>
            <w:r>
              <w:rPr>
                <w:sz w:val="20"/>
              </w:rPr>
              <w:t>5.817</w:t>
            </w:r>
          </w:p>
        </w:tc>
        <w:tc>
          <w:tcPr>
            <w:tcW w:w="1110" w:type="dxa"/>
            <w:vAlign w:val="top"/>
          </w:tcPr>
          <w:p>
            <w:pPr>
              <w:jc w:val="center"/>
              <w:rPr>
                <w:sz w:val="20"/>
              </w:rPr>
            </w:pPr>
            <w:r>
              <w:rPr>
                <w:sz w:val="20"/>
              </w:rPr>
              <w:t>6,8</w:t>
            </w:r>
          </w:p>
        </w:tc>
        <w:tc>
          <w:tcPr>
            <w:tcW w:w="1173" w:type="dxa"/>
            <w:vAlign w:val="top"/>
          </w:tcPr>
          <w:p>
            <w:pPr>
              <w:jc w:val="center"/>
              <w:rPr>
                <w:sz w:val="20"/>
              </w:rPr>
            </w:pPr>
            <w:r>
              <w:rPr>
                <w:sz w:val="20"/>
              </w:rPr>
              <w:t>3.550</w:t>
            </w:r>
          </w:p>
        </w:tc>
        <w:tc>
          <w:tcPr>
            <w:tcW w:w="1222" w:type="dxa"/>
            <w:vAlign w:val="top"/>
          </w:tcPr>
          <w:p>
            <w:pPr>
              <w:jc w:val="center"/>
              <w:rPr>
                <w:sz w:val="20"/>
              </w:rPr>
            </w:pPr>
            <w:r>
              <w:rPr>
                <w:sz w:val="20"/>
              </w:rPr>
              <w:t>6,6</w:t>
            </w:r>
          </w:p>
        </w:tc>
        <w:tc>
          <w:tcPr>
            <w:tcW w:w="1175" w:type="dxa"/>
            <w:vAlign w:val="top"/>
          </w:tcPr>
          <w:p>
            <w:pPr>
              <w:jc w:val="center"/>
              <w:rPr>
                <w:sz w:val="20"/>
              </w:rPr>
            </w:pPr>
            <w:r>
              <w:rPr>
                <w:sz w:val="20"/>
              </w:rPr>
              <w:t>2.228</w:t>
            </w:r>
          </w:p>
        </w:tc>
        <w:tc>
          <w:tcPr>
            <w:tcW w:w="1255" w:type="dxa"/>
            <w:vAlign w:val="top"/>
          </w:tcPr>
          <w:p>
            <w:pPr>
              <w:jc w:val="center"/>
              <w:rPr>
                <w:sz w:val="20"/>
              </w:rPr>
            </w:pPr>
            <w:r>
              <w:rPr>
                <w:sz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Eritrea</w:t>
            </w:r>
          </w:p>
        </w:tc>
        <w:tc>
          <w:tcPr>
            <w:tcW w:w="1143" w:type="dxa"/>
            <w:vAlign w:val="top"/>
          </w:tcPr>
          <w:p>
            <w:pPr>
              <w:jc w:val="center"/>
              <w:rPr>
                <w:sz w:val="20"/>
              </w:rPr>
            </w:pPr>
            <w:r>
              <w:rPr>
                <w:sz w:val="20"/>
              </w:rPr>
              <w:t>1.949</w:t>
            </w:r>
          </w:p>
        </w:tc>
        <w:tc>
          <w:tcPr>
            <w:tcW w:w="1110" w:type="dxa"/>
            <w:vAlign w:val="top"/>
          </w:tcPr>
          <w:p>
            <w:pPr>
              <w:jc w:val="center"/>
              <w:rPr>
                <w:sz w:val="20"/>
              </w:rPr>
            </w:pPr>
            <w:r>
              <w:rPr>
                <w:sz w:val="20"/>
              </w:rPr>
              <w:t>2,3</w:t>
            </w:r>
          </w:p>
        </w:tc>
        <w:tc>
          <w:tcPr>
            <w:tcW w:w="1173" w:type="dxa"/>
            <w:vAlign w:val="top"/>
          </w:tcPr>
          <w:p>
            <w:pPr>
              <w:jc w:val="center"/>
              <w:rPr>
                <w:sz w:val="20"/>
              </w:rPr>
            </w:pPr>
            <w:r>
              <w:rPr>
                <w:sz w:val="20"/>
              </w:rPr>
              <w:t>1.917</w:t>
            </w:r>
          </w:p>
        </w:tc>
        <w:tc>
          <w:tcPr>
            <w:tcW w:w="1222" w:type="dxa"/>
            <w:vAlign w:val="top"/>
          </w:tcPr>
          <w:p>
            <w:pPr>
              <w:jc w:val="center"/>
              <w:rPr>
                <w:sz w:val="20"/>
              </w:rPr>
            </w:pPr>
            <w:r>
              <w:rPr>
                <w:sz w:val="20"/>
              </w:rPr>
              <w:t>3,6</w:t>
            </w:r>
          </w:p>
        </w:tc>
        <w:tc>
          <w:tcPr>
            <w:tcW w:w="1175" w:type="dxa"/>
            <w:vAlign w:val="top"/>
          </w:tcPr>
          <w:p>
            <w:pPr>
              <w:jc w:val="center"/>
              <w:rPr>
                <w:sz w:val="20"/>
              </w:rPr>
            </w:pPr>
            <w:r>
              <w:rPr>
                <w:sz w:val="20"/>
              </w:rPr>
              <w:t>1.269</w:t>
            </w:r>
          </w:p>
        </w:tc>
        <w:tc>
          <w:tcPr>
            <w:tcW w:w="1255" w:type="dxa"/>
            <w:vAlign w:val="top"/>
          </w:tcPr>
          <w:p>
            <w:pPr>
              <w:jc w:val="center"/>
              <w:rPr>
                <w:sz w:val="20"/>
              </w:rPr>
            </w:pPr>
            <w:r>
              <w:rPr>
                <w:sz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222" w:type="dxa"/>
            <w:vAlign w:val="top"/>
          </w:tcPr>
          <w:p>
            <w:pPr>
              <w:jc w:val="center"/>
              <w:rPr>
                <w:sz w:val="20"/>
              </w:rPr>
            </w:pPr>
            <w:r>
              <w:rPr>
                <w:sz w:val="20"/>
              </w:rPr>
              <w:t>Afghanistan</w:t>
            </w:r>
          </w:p>
        </w:tc>
        <w:tc>
          <w:tcPr>
            <w:tcW w:w="1143" w:type="dxa"/>
            <w:vAlign w:val="top"/>
          </w:tcPr>
          <w:p>
            <w:pPr>
              <w:jc w:val="center"/>
              <w:rPr>
                <w:sz w:val="20"/>
              </w:rPr>
            </w:pPr>
            <w:r>
              <w:rPr>
                <w:sz w:val="20"/>
              </w:rPr>
              <w:t>2.737</w:t>
            </w:r>
          </w:p>
        </w:tc>
        <w:tc>
          <w:tcPr>
            <w:tcW w:w="1110" w:type="dxa"/>
            <w:vAlign w:val="top"/>
          </w:tcPr>
          <w:p>
            <w:pPr>
              <w:jc w:val="center"/>
              <w:rPr>
                <w:sz w:val="20"/>
              </w:rPr>
            </w:pPr>
            <w:r>
              <w:rPr>
                <w:sz w:val="20"/>
              </w:rPr>
              <w:t>3,2</w:t>
            </w:r>
          </w:p>
        </w:tc>
        <w:tc>
          <w:tcPr>
            <w:tcW w:w="1173" w:type="dxa"/>
            <w:vAlign w:val="top"/>
          </w:tcPr>
          <w:p>
            <w:pPr>
              <w:jc w:val="center"/>
              <w:rPr>
                <w:sz w:val="20"/>
              </w:rPr>
            </w:pPr>
            <w:r>
              <w:rPr>
                <w:sz w:val="20"/>
              </w:rPr>
              <w:t>1.311</w:t>
            </w:r>
          </w:p>
        </w:tc>
        <w:tc>
          <w:tcPr>
            <w:tcW w:w="1222" w:type="dxa"/>
            <w:vAlign w:val="top"/>
          </w:tcPr>
          <w:p>
            <w:pPr>
              <w:jc w:val="center"/>
              <w:rPr>
                <w:sz w:val="20"/>
              </w:rPr>
            </w:pPr>
            <w:r>
              <w:rPr>
                <w:sz w:val="20"/>
              </w:rPr>
              <w:t>2,4</w:t>
            </w:r>
          </w:p>
        </w:tc>
        <w:tc>
          <w:tcPr>
            <w:tcW w:w="1175" w:type="dxa"/>
            <w:vAlign w:val="top"/>
          </w:tcPr>
          <w:p>
            <w:pPr>
              <w:jc w:val="center"/>
              <w:rPr>
                <w:sz w:val="20"/>
              </w:rPr>
            </w:pPr>
            <w:r>
              <w:rPr>
                <w:sz w:val="20"/>
              </w:rPr>
              <w:t>805</w:t>
            </w:r>
          </w:p>
        </w:tc>
        <w:tc>
          <w:tcPr>
            <w:tcW w:w="1255" w:type="dxa"/>
            <w:vAlign w:val="top"/>
          </w:tcPr>
          <w:p>
            <w:pPr>
              <w:jc w:val="center"/>
              <w:rPr>
                <w:sz w:val="20"/>
              </w:rPr>
            </w:pPr>
            <w:r>
              <w:rPr>
                <w:sz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22" w:type="dxa"/>
            <w:vAlign w:val="top"/>
          </w:tcPr>
          <w:p>
            <w:pPr>
              <w:jc w:val="center"/>
              <w:rPr>
                <w:sz w:val="20"/>
              </w:rPr>
            </w:pPr>
            <w:r>
              <w:rPr>
                <w:sz w:val="20"/>
              </w:rPr>
              <w:t>El Salvador</w:t>
            </w:r>
          </w:p>
        </w:tc>
        <w:tc>
          <w:tcPr>
            <w:tcW w:w="1143" w:type="dxa"/>
            <w:vAlign w:val="top"/>
          </w:tcPr>
          <w:p>
            <w:pPr>
              <w:jc w:val="center"/>
              <w:rPr>
                <w:sz w:val="20"/>
              </w:rPr>
            </w:pPr>
            <w:r>
              <w:rPr>
                <w:sz w:val="20"/>
              </w:rPr>
              <w:t>364</w:t>
            </w:r>
          </w:p>
        </w:tc>
        <w:tc>
          <w:tcPr>
            <w:tcW w:w="1110" w:type="dxa"/>
            <w:vAlign w:val="top"/>
          </w:tcPr>
          <w:p>
            <w:pPr>
              <w:jc w:val="center"/>
              <w:rPr>
                <w:sz w:val="20"/>
              </w:rPr>
            </w:pPr>
            <w:r>
              <w:rPr>
                <w:sz w:val="20"/>
              </w:rPr>
              <w:t>0,4</w:t>
            </w:r>
          </w:p>
        </w:tc>
        <w:tc>
          <w:tcPr>
            <w:tcW w:w="1173" w:type="dxa"/>
            <w:vAlign w:val="top"/>
          </w:tcPr>
          <w:p>
            <w:pPr>
              <w:jc w:val="center"/>
              <w:rPr>
                <w:sz w:val="20"/>
              </w:rPr>
            </w:pPr>
            <w:r>
              <w:rPr>
                <w:sz w:val="20"/>
              </w:rPr>
              <w:t>1.124</w:t>
            </w:r>
          </w:p>
        </w:tc>
        <w:tc>
          <w:tcPr>
            <w:tcW w:w="1222" w:type="dxa"/>
            <w:vAlign w:val="top"/>
          </w:tcPr>
          <w:p>
            <w:pPr>
              <w:jc w:val="center"/>
              <w:rPr>
                <w:sz w:val="20"/>
              </w:rPr>
            </w:pPr>
            <w:r>
              <w:rPr>
                <w:sz w:val="20"/>
              </w:rPr>
              <w:t>2,1</w:t>
            </w:r>
          </w:p>
        </w:tc>
        <w:tc>
          <w:tcPr>
            <w:tcW w:w="1175" w:type="dxa"/>
            <w:vAlign w:val="top"/>
          </w:tcPr>
          <w:p>
            <w:pPr>
              <w:jc w:val="center"/>
              <w:rPr>
                <w:sz w:val="20"/>
              </w:rPr>
            </w:pPr>
            <w:r>
              <w:rPr>
                <w:sz w:val="20"/>
              </w:rPr>
              <w:t>725</w:t>
            </w:r>
          </w:p>
        </w:tc>
        <w:tc>
          <w:tcPr>
            <w:tcW w:w="1255" w:type="dxa"/>
            <w:vAlign w:val="top"/>
          </w:tcPr>
          <w:p>
            <w:pPr>
              <w:jc w:val="center"/>
              <w:rPr>
                <w:sz w:val="20"/>
              </w:rPr>
            </w:pPr>
            <w:r>
              <w:rPr>
                <w:sz w:val="20"/>
              </w:rPr>
              <w:t>3,2</w:t>
            </w:r>
          </w:p>
        </w:tc>
      </w:tr>
    </w:tbl>
    <w:p>
      <w:pPr>
        <w:rPr>
          <w:sz w:val="20"/>
        </w:rPr>
      </w:pPr>
      <w:r>
        <w:rPr>
          <w:rFonts w:hint="default"/>
          <w:sz w:val="20"/>
          <w:lang w:val="en-US"/>
        </w:rPr>
        <w:t xml:space="preserve"> </w:t>
      </w:r>
      <w:r>
        <w:rPr>
          <w:sz w:val="20"/>
        </w:rPr>
        <w:t xml:space="preserve">Sumber: </w:t>
      </w:r>
      <w:r>
        <w:rPr>
          <w:i/>
          <w:iCs/>
          <w:sz w:val="20"/>
        </w:rPr>
        <w:t xml:space="preserve">U.S. Department of State, </w:t>
      </w:r>
      <w:r>
        <w:rPr>
          <w:sz w:val="20"/>
        </w:rPr>
        <w:t>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pPr>
      <w:r>
        <w:rPr>
          <w:rFonts w:hint="default"/>
          <w:sz w:val="24"/>
          <w:szCs w:val="24"/>
          <w:lang w:val="en-US"/>
        </w:rPr>
        <w:t xml:space="preserve">Kedua, migran yang terkategori sebagai pencari suaka. Pencari suaka terbagi menjadi 2 jenis menurut jenis kasus suaka yaitu kasus suaka afirmatif dan kasus suaka defensif. </w:t>
      </w:r>
    </w:p>
    <w:p>
      <w:pPr>
        <w:ind w:firstLine="420"/>
        <w:jc w:val="center"/>
      </w:pPr>
      <w:r>
        <w:rPr>
          <w:rFonts w:eastAsia="Times New Roman"/>
          <w:b/>
          <w:bCs/>
          <w:sz w:val="24"/>
          <w:szCs w:val="24"/>
        </w:rPr>
        <w:t xml:space="preserve">Tabel </w:t>
      </w:r>
      <w:r>
        <w:rPr>
          <w:rFonts w:hint="default" w:eastAsia="Times New Roman"/>
          <w:b/>
          <w:bCs/>
          <w:sz w:val="24"/>
          <w:szCs w:val="24"/>
          <w:lang w:val="en-US"/>
        </w:rPr>
        <w:t>2</w:t>
      </w:r>
      <w:r>
        <w:rPr>
          <w:rFonts w:eastAsia="Times New Roman"/>
          <w:b/>
          <w:bCs/>
          <w:sz w:val="24"/>
          <w:szCs w:val="24"/>
        </w:rPr>
        <w:t xml:space="preserve"> Kasus Suaka Afirmatif yang Diterima oleh USCIS</w:t>
      </w:r>
      <w:r>
        <w:rPr>
          <w:rFonts w:eastAsia="Times New Roman"/>
          <w:sz w:val="24"/>
          <w:szCs w:val="24"/>
        </w:rPr>
        <w:t xml:space="preserve"> </w:t>
      </w:r>
      <w:r>
        <w:rPr>
          <w:rFonts w:eastAsia="Times New Roman"/>
          <w:b/>
          <w:bCs/>
          <w:sz w:val="24"/>
          <w:szCs w:val="24"/>
        </w:rPr>
        <w:t>Berdasarkan Negara Asal Tahun 2016-2018</w:t>
      </w:r>
      <w:r>
        <w:rPr>
          <w:sz w:val="24"/>
          <w:szCs w:val="24"/>
        </w:rPr>
        <w:t xml:space="preserve"> </w:t>
      </w:r>
    </w:p>
    <w:tbl>
      <w:tblPr>
        <w:tblW w:w="8467"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50"/>
        <w:gridCol w:w="1184"/>
        <w:gridCol w:w="1250"/>
        <w:gridCol w:w="1183"/>
        <w:gridCol w:w="123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Merge w:val="restart"/>
            <w:vAlign w:val="top"/>
          </w:tcPr>
          <w:p>
            <w:pPr>
              <w:jc w:val="center"/>
              <w:rPr>
                <w:sz w:val="20"/>
              </w:rPr>
            </w:pPr>
          </w:p>
          <w:p>
            <w:pPr>
              <w:jc w:val="center"/>
              <w:rPr>
                <w:rFonts w:hint="default"/>
                <w:sz w:val="20"/>
                <w:lang w:val="en-US"/>
              </w:rPr>
            </w:pPr>
            <w:r>
              <w:rPr>
                <w:rFonts w:hint="default"/>
                <w:sz w:val="20"/>
                <w:lang w:val="en-US"/>
              </w:rPr>
              <w:t>Negara Kebangsaan</w:t>
            </w:r>
          </w:p>
        </w:tc>
        <w:tc>
          <w:tcPr>
            <w:tcW w:w="2334" w:type="dxa"/>
            <w:gridSpan w:val="2"/>
            <w:vAlign w:val="top"/>
          </w:tcPr>
          <w:p>
            <w:pPr>
              <w:jc w:val="center"/>
              <w:rPr>
                <w:sz w:val="20"/>
              </w:rPr>
            </w:pPr>
            <w:r>
              <w:rPr>
                <w:sz w:val="20"/>
              </w:rPr>
              <w:t>2016</w:t>
            </w:r>
          </w:p>
        </w:tc>
        <w:tc>
          <w:tcPr>
            <w:tcW w:w="2433" w:type="dxa"/>
            <w:gridSpan w:val="2"/>
            <w:vAlign w:val="top"/>
          </w:tcPr>
          <w:p>
            <w:pPr>
              <w:jc w:val="center"/>
              <w:rPr>
                <w:sz w:val="20"/>
              </w:rPr>
            </w:pPr>
            <w:r>
              <w:rPr>
                <w:sz w:val="20"/>
              </w:rPr>
              <w:t>2017</w:t>
            </w:r>
          </w:p>
        </w:tc>
        <w:tc>
          <w:tcPr>
            <w:tcW w:w="2500" w:type="dxa"/>
            <w:gridSpan w:val="2"/>
            <w:vAlign w:val="top"/>
          </w:tcPr>
          <w:p>
            <w:pPr>
              <w:jc w:val="center"/>
              <w:rPr>
                <w:sz w:val="20"/>
              </w:rPr>
            </w:pPr>
            <w:r>
              <w:rPr>
                <w:sz w:val="2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200" w:type="dxa"/>
            <w:vMerge w:val="continue"/>
            <w:vAlign w:val="top"/>
          </w:tcPr>
          <w:p>
            <w:pPr>
              <w:jc w:val="center"/>
              <w:rPr>
                <w:sz w:val="20"/>
              </w:rPr>
            </w:pPr>
          </w:p>
        </w:tc>
        <w:tc>
          <w:tcPr>
            <w:tcW w:w="1150" w:type="dxa"/>
            <w:vAlign w:val="top"/>
          </w:tcPr>
          <w:p>
            <w:pPr>
              <w:jc w:val="center"/>
              <w:rPr>
                <w:rFonts w:hint="default"/>
                <w:sz w:val="20"/>
                <w:lang w:val="en-US"/>
              </w:rPr>
            </w:pPr>
            <w:r>
              <w:rPr>
                <w:rFonts w:hint="default"/>
                <w:sz w:val="20"/>
                <w:lang w:val="en-US"/>
              </w:rPr>
              <w:t>Angka</w:t>
            </w:r>
          </w:p>
        </w:tc>
        <w:tc>
          <w:tcPr>
            <w:tcW w:w="1184" w:type="dxa"/>
            <w:vAlign w:val="top"/>
          </w:tcPr>
          <w:p>
            <w:pPr>
              <w:jc w:val="center"/>
              <w:rPr>
                <w:sz w:val="20"/>
              </w:rPr>
            </w:pPr>
            <w:r>
              <w:rPr>
                <w:sz w:val="20"/>
              </w:rPr>
              <w:t>Per</w:t>
            </w:r>
            <w:r>
              <w:rPr>
                <w:rFonts w:hint="default"/>
                <w:sz w:val="20"/>
                <w:lang w:val="en-US"/>
              </w:rPr>
              <w:t>sen</w:t>
            </w:r>
          </w:p>
        </w:tc>
        <w:tc>
          <w:tcPr>
            <w:tcW w:w="1250" w:type="dxa"/>
            <w:vAlign w:val="top"/>
          </w:tcPr>
          <w:p>
            <w:pPr>
              <w:jc w:val="center"/>
              <w:rPr>
                <w:rFonts w:hint="default"/>
                <w:sz w:val="20"/>
                <w:lang w:val="en-US"/>
              </w:rPr>
            </w:pPr>
            <w:r>
              <w:rPr>
                <w:rFonts w:hint="default"/>
                <w:sz w:val="20"/>
                <w:lang w:val="en-US"/>
              </w:rPr>
              <w:t>Angka</w:t>
            </w:r>
          </w:p>
        </w:tc>
        <w:tc>
          <w:tcPr>
            <w:tcW w:w="1183" w:type="dxa"/>
            <w:vAlign w:val="top"/>
          </w:tcPr>
          <w:p>
            <w:pPr>
              <w:jc w:val="center"/>
              <w:rPr>
                <w:sz w:val="20"/>
              </w:rPr>
            </w:pPr>
            <w:r>
              <w:rPr>
                <w:sz w:val="20"/>
              </w:rPr>
              <w:t>Per</w:t>
            </w:r>
            <w:r>
              <w:rPr>
                <w:rFonts w:hint="default"/>
                <w:sz w:val="20"/>
                <w:lang w:val="en-US"/>
              </w:rPr>
              <w:t>sen</w:t>
            </w:r>
          </w:p>
        </w:tc>
        <w:tc>
          <w:tcPr>
            <w:tcW w:w="1233" w:type="dxa"/>
            <w:vAlign w:val="top"/>
          </w:tcPr>
          <w:p>
            <w:pPr>
              <w:jc w:val="center"/>
              <w:rPr>
                <w:rFonts w:hint="default"/>
                <w:sz w:val="20"/>
                <w:lang w:val="en-US"/>
              </w:rPr>
            </w:pPr>
            <w:r>
              <w:rPr>
                <w:rFonts w:hint="default"/>
                <w:sz w:val="20"/>
                <w:lang w:val="en-US"/>
              </w:rPr>
              <w:t>Angka</w:t>
            </w:r>
          </w:p>
        </w:tc>
        <w:tc>
          <w:tcPr>
            <w:tcW w:w="1267"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00" w:type="dxa"/>
            <w:vAlign w:val="top"/>
          </w:tcPr>
          <w:p>
            <w:pPr>
              <w:jc w:val="center"/>
              <w:rPr>
                <w:sz w:val="20"/>
              </w:rPr>
            </w:pPr>
            <w:r>
              <w:rPr>
                <w:sz w:val="20"/>
              </w:rPr>
              <w:t>Total</w:t>
            </w:r>
          </w:p>
        </w:tc>
        <w:tc>
          <w:tcPr>
            <w:tcW w:w="1150" w:type="dxa"/>
            <w:vAlign w:val="top"/>
          </w:tcPr>
          <w:p>
            <w:pPr>
              <w:jc w:val="center"/>
              <w:rPr>
                <w:rFonts w:hint="default"/>
                <w:sz w:val="20"/>
                <w:lang w:val="en-US"/>
              </w:rPr>
            </w:pPr>
            <w:r>
              <w:rPr>
                <w:rFonts w:hint="default"/>
                <w:sz w:val="20"/>
                <w:lang w:val="en-US"/>
              </w:rPr>
              <w:t>55.314</w:t>
            </w:r>
          </w:p>
        </w:tc>
        <w:tc>
          <w:tcPr>
            <w:tcW w:w="1184" w:type="dxa"/>
            <w:vAlign w:val="top"/>
          </w:tcPr>
          <w:p>
            <w:pPr>
              <w:jc w:val="center"/>
              <w:rPr>
                <w:sz w:val="20"/>
              </w:rPr>
            </w:pPr>
            <w:r>
              <w:rPr>
                <w:sz w:val="20"/>
              </w:rPr>
              <w:t>100,0</w:t>
            </w:r>
          </w:p>
        </w:tc>
        <w:tc>
          <w:tcPr>
            <w:tcW w:w="1250" w:type="dxa"/>
            <w:vAlign w:val="top"/>
          </w:tcPr>
          <w:p>
            <w:pPr>
              <w:jc w:val="center"/>
              <w:rPr>
                <w:rFonts w:hint="default"/>
                <w:sz w:val="20"/>
                <w:lang w:val="en-US"/>
              </w:rPr>
            </w:pPr>
            <w:r>
              <w:rPr>
                <w:rFonts w:hint="default"/>
                <w:sz w:val="20"/>
                <w:lang w:val="en-US"/>
              </w:rPr>
              <w:t>70.617</w:t>
            </w:r>
          </w:p>
        </w:tc>
        <w:tc>
          <w:tcPr>
            <w:tcW w:w="1183" w:type="dxa"/>
            <w:vAlign w:val="top"/>
          </w:tcPr>
          <w:p>
            <w:pPr>
              <w:jc w:val="center"/>
              <w:rPr>
                <w:sz w:val="20"/>
              </w:rPr>
            </w:pPr>
            <w:r>
              <w:rPr>
                <w:sz w:val="20"/>
              </w:rPr>
              <w:t>100,0</w:t>
            </w:r>
          </w:p>
        </w:tc>
        <w:tc>
          <w:tcPr>
            <w:tcW w:w="1233" w:type="dxa"/>
            <w:vAlign w:val="top"/>
          </w:tcPr>
          <w:p>
            <w:pPr>
              <w:jc w:val="center"/>
              <w:rPr>
                <w:rFonts w:hint="default"/>
                <w:sz w:val="20"/>
                <w:lang w:val="en-US"/>
              </w:rPr>
            </w:pPr>
            <w:r>
              <w:rPr>
                <w:rFonts w:hint="default"/>
                <w:sz w:val="20"/>
                <w:lang w:val="en-US"/>
              </w:rPr>
              <w:t>60.325</w:t>
            </w:r>
          </w:p>
        </w:tc>
        <w:tc>
          <w:tcPr>
            <w:tcW w:w="1267"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Align w:val="top"/>
          </w:tcPr>
          <w:p>
            <w:pPr>
              <w:jc w:val="center"/>
              <w:rPr>
                <w:sz w:val="20"/>
              </w:rPr>
            </w:pPr>
            <w:r>
              <w:rPr>
                <w:sz w:val="20"/>
              </w:rPr>
              <w:t>Venezuela</w:t>
            </w:r>
          </w:p>
        </w:tc>
        <w:tc>
          <w:tcPr>
            <w:tcW w:w="1150" w:type="dxa"/>
            <w:vAlign w:val="top"/>
          </w:tcPr>
          <w:p>
            <w:pPr>
              <w:jc w:val="center"/>
              <w:rPr>
                <w:sz w:val="20"/>
              </w:rPr>
            </w:pPr>
            <w:r>
              <w:rPr>
                <w:sz w:val="20"/>
              </w:rPr>
              <w:t>14.795</w:t>
            </w:r>
          </w:p>
        </w:tc>
        <w:tc>
          <w:tcPr>
            <w:tcW w:w="1184" w:type="dxa"/>
            <w:vAlign w:val="top"/>
          </w:tcPr>
          <w:p>
            <w:pPr>
              <w:jc w:val="center"/>
              <w:rPr>
                <w:sz w:val="20"/>
              </w:rPr>
            </w:pPr>
            <w:r>
              <w:rPr>
                <w:sz w:val="20"/>
              </w:rPr>
              <w:t>12,8</w:t>
            </w:r>
          </w:p>
        </w:tc>
        <w:tc>
          <w:tcPr>
            <w:tcW w:w="1250" w:type="dxa"/>
            <w:vAlign w:val="top"/>
          </w:tcPr>
          <w:p>
            <w:pPr>
              <w:jc w:val="center"/>
              <w:rPr>
                <w:sz w:val="20"/>
              </w:rPr>
            </w:pPr>
            <w:r>
              <w:rPr>
                <w:sz w:val="20"/>
              </w:rPr>
              <w:t>27.587</w:t>
            </w:r>
          </w:p>
        </w:tc>
        <w:tc>
          <w:tcPr>
            <w:tcW w:w="1183" w:type="dxa"/>
            <w:vAlign w:val="top"/>
          </w:tcPr>
          <w:p>
            <w:pPr>
              <w:jc w:val="center"/>
              <w:rPr>
                <w:sz w:val="20"/>
              </w:rPr>
            </w:pPr>
            <w:r>
              <w:rPr>
                <w:sz w:val="20"/>
              </w:rPr>
              <w:t>19,7</w:t>
            </w:r>
          </w:p>
        </w:tc>
        <w:tc>
          <w:tcPr>
            <w:tcW w:w="1233" w:type="dxa"/>
            <w:vAlign w:val="top"/>
          </w:tcPr>
          <w:p>
            <w:pPr>
              <w:jc w:val="center"/>
              <w:rPr>
                <w:sz w:val="20"/>
              </w:rPr>
            </w:pPr>
            <w:r>
              <w:rPr>
                <w:sz w:val="20"/>
              </w:rPr>
              <w:t>28.401</w:t>
            </w:r>
          </w:p>
        </w:tc>
        <w:tc>
          <w:tcPr>
            <w:tcW w:w="1267" w:type="dxa"/>
            <w:vAlign w:val="top"/>
          </w:tcPr>
          <w:p>
            <w:pPr>
              <w:jc w:val="center"/>
              <w:rPr>
                <w:sz w:val="20"/>
              </w:rPr>
            </w:pPr>
            <w:r>
              <w:rPr>
                <w:sz w:val="20"/>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Align w:val="top"/>
          </w:tcPr>
          <w:p>
            <w:pPr>
              <w:jc w:val="center"/>
              <w:rPr>
                <w:sz w:val="20"/>
              </w:rPr>
            </w:pPr>
            <w:r>
              <w:rPr>
                <w:sz w:val="20"/>
              </w:rPr>
              <w:t>Guatemala</w:t>
            </w:r>
          </w:p>
        </w:tc>
        <w:tc>
          <w:tcPr>
            <w:tcW w:w="1150" w:type="dxa"/>
            <w:vAlign w:val="top"/>
          </w:tcPr>
          <w:p>
            <w:pPr>
              <w:jc w:val="center"/>
              <w:rPr>
                <w:sz w:val="20"/>
              </w:rPr>
            </w:pPr>
            <w:r>
              <w:rPr>
                <w:sz w:val="20"/>
              </w:rPr>
              <w:t>10.722</w:t>
            </w:r>
          </w:p>
        </w:tc>
        <w:tc>
          <w:tcPr>
            <w:tcW w:w="1184" w:type="dxa"/>
            <w:vAlign w:val="top"/>
          </w:tcPr>
          <w:p>
            <w:pPr>
              <w:jc w:val="center"/>
              <w:rPr>
                <w:sz w:val="20"/>
              </w:rPr>
            </w:pPr>
            <w:r>
              <w:rPr>
                <w:sz w:val="20"/>
              </w:rPr>
              <w:t>9,3</w:t>
            </w:r>
          </w:p>
        </w:tc>
        <w:tc>
          <w:tcPr>
            <w:tcW w:w="1250" w:type="dxa"/>
            <w:vAlign w:val="top"/>
          </w:tcPr>
          <w:p>
            <w:pPr>
              <w:jc w:val="center"/>
              <w:rPr>
                <w:sz w:val="20"/>
              </w:rPr>
            </w:pPr>
            <w:r>
              <w:rPr>
                <w:sz w:val="20"/>
              </w:rPr>
              <w:t>12.178</w:t>
            </w:r>
          </w:p>
        </w:tc>
        <w:tc>
          <w:tcPr>
            <w:tcW w:w="1183" w:type="dxa"/>
            <w:vAlign w:val="top"/>
          </w:tcPr>
          <w:p>
            <w:pPr>
              <w:jc w:val="center"/>
              <w:rPr>
                <w:sz w:val="20"/>
              </w:rPr>
            </w:pPr>
            <w:r>
              <w:rPr>
                <w:sz w:val="20"/>
              </w:rPr>
              <w:t>8,7</w:t>
            </w:r>
          </w:p>
        </w:tc>
        <w:tc>
          <w:tcPr>
            <w:tcW w:w="1233" w:type="dxa"/>
            <w:vAlign w:val="top"/>
          </w:tcPr>
          <w:p>
            <w:pPr>
              <w:jc w:val="center"/>
              <w:rPr>
                <w:sz w:val="20"/>
              </w:rPr>
            </w:pPr>
            <w:r>
              <w:rPr>
                <w:sz w:val="20"/>
              </w:rPr>
              <w:t>10.119</w:t>
            </w:r>
          </w:p>
        </w:tc>
        <w:tc>
          <w:tcPr>
            <w:tcW w:w="1267" w:type="dxa"/>
            <w:vAlign w:val="top"/>
          </w:tcPr>
          <w:p>
            <w:pPr>
              <w:jc w:val="center"/>
              <w:rPr>
                <w:sz w:val="20"/>
              </w:rPr>
            </w:pPr>
            <w:r>
              <w:rPr>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Align w:val="top"/>
          </w:tcPr>
          <w:p>
            <w:pPr>
              <w:jc w:val="center"/>
              <w:rPr>
                <w:sz w:val="20"/>
              </w:rPr>
            </w:pPr>
            <w:r>
              <w:rPr>
                <w:sz w:val="20"/>
              </w:rPr>
              <w:t>El Salvador</w:t>
            </w:r>
          </w:p>
        </w:tc>
        <w:tc>
          <w:tcPr>
            <w:tcW w:w="1150" w:type="dxa"/>
            <w:vAlign w:val="top"/>
          </w:tcPr>
          <w:p>
            <w:pPr>
              <w:jc w:val="center"/>
              <w:rPr>
                <w:sz w:val="20"/>
              </w:rPr>
            </w:pPr>
            <w:r>
              <w:rPr>
                <w:sz w:val="20"/>
              </w:rPr>
              <w:t>9.447</w:t>
            </w:r>
          </w:p>
        </w:tc>
        <w:tc>
          <w:tcPr>
            <w:tcW w:w="1184" w:type="dxa"/>
            <w:vAlign w:val="top"/>
          </w:tcPr>
          <w:p>
            <w:pPr>
              <w:jc w:val="center"/>
              <w:rPr>
                <w:sz w:val="20"/>
              </w:rPr>
            </w:pPr>
            <w:r>
              <w:rPr>
                <w:sz w:val="20"/>
              </w:rPr>
              <w:t>8,2</w:t>
            </w:r>
          </w:p>
        </w:tc>
        <w:tc>
          <w:tcPr>
            <w:tcW w:w="1250" w:type="dxa"/>
            <w:vAlign w:val="top"/>
          </w:tcPr>
          <w:p>
            <w:pPr>
              <w:jc w:val="center"/>
              <w:rPr>
                <w:sz w:val="20"/>
              </w:rPr>
            </w:pPr>
            <w:r>
              <w:rPr>
                <w:sz w:val="20"/>
              </w:rPr>
              <w:t>11.922</w:t>
            </w:r>
          </w:p>
        </w:tc>
        <w:tc>
          <w:tcPr>
            <w:tcW w:w="1183" w:type="dxa"/>
            <w:vAlign w:val="top"/>
          </w:tcPr>
          <w:p>
            <w:pPr>
              <w:jc w:val="center"/>
              <w:rPr>
                <w:sz w:val="20"/>
              </w:rPr>
            </w:pPr>
            <w:r>
              <w:rPr>
                <w:sz w:val="20"/>
              </w:rPr>
              <w:t>8,5</w:t>
            </w:r>
          </w:p>
        </w:tc>
        <w:tc>
          <w:tcPr>
            <w:tcW w:w="1233" w:type="dxa"/>
            <w:vAlign w:val="top"/>
          </w:tcPr>
          <w:p>
            <w:pPr>
              <w:jc w:val="center"/>
              <w:rPr>
                <w:sz w:val="20"/>
              </w:rPr>
            </w:pPr>
            <w:r>
              <w:rPr>
                <w:sz w:val="20"/>
              </w:rPr>
              <w:t>9.096</w:t>
            </w:r>
          </w:p>
        </w:tc>
        <w:tc>
          <w:tcPr>
            <w:tcW w:w="1267" w:type="dxa"/>
            <w:vAlign w:val="top"/>
          </w:tcPr>
          <w:p>
            <w:pPr>
              <w:jc w:val="center"/>
              <w:rPr>
                <w:sz w:val="20"/>
              </w:rPr>
            </w:pPr>
            <w:r>
              <w:rPr>
                <w:sz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Align w:val="top"/>
          </w:tcPr>
          <w:p>
            <w:pPr>
              <w:jc w:val="center"/>
              <w:rPr>
                <w:sz w:val="20"/>
              </w:rPr>
            </w:pPr>
            <w:r>
              <w:rPr>
                <w:sz w:val="20"/>
              </w:rPr>
              <w:t>Mexico</w:t>
            </w:r>
          </w:p>
        </w:tc>
        <w:tc>
          <w:tcPr>
            <w:tcW w:w="1150" w:type="dxa"/>
            <w:vAlign w:val="top"/>
          </w:tcPr>
          <w:p>
            <w:pPr>
              <w:jc w:val="center"/>
              <w:rPr>
                <w:sz w:val="20"/>
              </w:rPr>
            </w:pPr>
            <w:r>
              <w:rPr>
                <w:sz w:val="20"/>
              </w:rPr>
              <w:t>14.651</w:t>
            </w:r>
          </w:p>
        </w:tc>
        <w:tc>
          <w:tcPr>
            <w:tcW w:w="1184" w:type="dxa"/>
            <w:vAlign w:val="top"/>
          </w:tcPr>
          <w:p>
            <w:pPr>
              <w:jc w:val="center"/>
              <w:rPr>
                <w:sz w:val="20"/>
              </w:rPr>
            </w:pPr>
            <w:r>
              <w:rPr>
                <w:sz w:val="20"/>
              </w:rPr>
              <w:t>12,7</w:t>
            </w:r>
          </w:p>
        </w:tc>
        <w:tc>
          <w:tcPr>
            <w:tcW w:w="1250" w:type="dxa"/>
            <w:vAlign w:val="top"/>
          </w:tcPr>
          <w:p>
            <w:pPr>
              <w:jc w:val="center"/>
              <w:rPr>
                <w:sz w:val="20"/>
              </w:rPr>
            </w:pPr>
            <w:r>
              <w:rPr>
                <w:sz w:val="20"/>
              </w:rPr>
              <w:t>11.941</w:t>
            </w:r>
          </w:p>
        </w:tc>
        <w:tc>
          <w:tcPr>
            <w:tcW w:w="1183" w:type="dxa"/>
            <w:vAlign w:val="top"/>
          </w:tcPr>
          <w:p>
            <w:pPr>
              <w:jc w:val="center"/>
              <w:rPr>
                <w:sz w:val="20"/>
              </w:rPr>
            </w:pPr>
            <w:r>
              <w:rPr>
                <w:sz w:val="20"/>
              </w:rPr>
              <w:t>8,5</w:t>
            </w:r>
          </w:p>
        </w:tc>
        <w:tc>
          <w:tcPr>
            <w:tcW w:w="1233" w:type="dxa"/>
            <w:vAlign w:val="top"/>
          </w:tcPr>
          <w:p>
            <w:pPr>
              <w:jc w:val="center"/>
              <w:rPr>
                <w:sz w:val="20"/>
              </w:rPr>
            </w:pPr>
            <w:r>
              <w:rPr>
                <w:sz w:val="20"/>
              </w:rPr>
              <w:t>6.598</w:t>
            </w:r>
          </w:p>
        </w:tc>
        <w:tc>
          <w:tcPr>
            <w:tcW w:w="1267" w:type="dxa"/>
            <w:vAlign w:val="top"/>
          </w:tcPr>
          <w:p>
            <w:pPr>
              <w:jc w:val="center"/>
              <w:rPr>
                <w:sz w:val="20"/>
              </w:rPr>
            </w:pPr>
            <w:r>
              <w:rPr>
                <w:sz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Align w:val="top"/>
          </w:tcPr>
          <w:p>
            <w:pPr>
              <w:jc w:val="center"/>
              <w:rPr>
                <w:sz w:val="20"/>
              </w:rPr>
            </w:pPr>
            <w:r>
              <w:rPr>
                <w:sz w:val="20"/>
              </w:rPr>
              <w:t>Honduras</w:t>
            </w:r>
          </w:p>
        </w:tc>
        <w:tc>
          <w:tcPr>
            <w:tcW w:w="1150" w:type="dxa"/>
            <w:vAlign w:val="top"/>
          </w:tcPr>
          <w:p>
            <w:pPr>
              <w:jc w:val="center"/>
              <w:rPr>
                <w:sz w:val="20"/>
              </w:rPr>
            </w:pPr>
            <w:r>
              <w:rPr>
                <w:sz w:val="20"/>
              </w:rPr>
              <w:t>5.699</w:t>
            </w:r>
          </w:p>
        </w:tc>
        <w:tc>
          <w:tcPr>
            <w:tcW w:w="1184" w:type="dxa"/>
            <w:vAlign w:val="top"/>
          </w:tcPr>
          <w:p>
            <w:pPr>
              <w:jc w:val="center"/>
              <w:rPr>
                <w:sz w:val="20"/>
              </w:rPr>
            </w:pPr>
            <w:r>
              <w:rPr>
                <w:sz w:val="20"/>
              </w:rPr>
              <w:t>4,9</w:t>
            </w:r>
          </w:p>
        </w:tc>
        <w:tc>
          <w:tcPr>
            <w:tcW w:w="1250" w:type="dxa"/>
            <w:vAlign w:val="top"/>
          </w:tcPr>
          <w:p>
            <w:pPr>
              <w:jc w:val="center"/>
              <w:rPr>
                <w:sz w:val="20"/>
              </w:rPr>
            </w:pPr>
            <w:r>
              <w:rPr>
                <w:sz w:val="20"/>
              </w:rPr>
              <w:t>6.989</w:t>
            </w:r>
          </w:p>
        </w:tc>
        <w:tc>
          <w:tcPr>
            <w:tcW w:w="1183" w:type="dxa"/>
            <w:vAlign w:val="top"/>
          </w:tcPr>
          <w:p>
            <w:pPr>
              <w:jc w:val="center"/>
              <w:rPr>
                <w:sz w:val="20"/>
              </w:rPr>
            </w:pPr>
            <w:r>
              <w:rPr>
                <w:sz w:val="20"/>
              </w:rPr>
              <w:t>5,0</w:t>
            </w:r>
          </w:p>
        </w:tc>
        <w:tc>
          <w:tcPr>
            <w:tcW w:w="1233" w:type="dxa"/>
            <w:vAlign w:val="top"/>
          </w:tcPr>
          <w:p>
            <w:pPr>
              <w:jc w:val="center"/>
              <w:rPr>
                <w:sz w:val="20"/>
              </w:rPr>
            </w:pPr>
            <w:r>
              <w:rPr>
                <w:sz w:val="20"/>
              </w:rPr>
              <w:t>6.111</w:t>
            </w:r>
          </w:p>
        </w:tc>
        <w:tc>
          <w:tcPr>
            <w:tcW w:w="1267" w:type="dxa"/>
            <w:vAlign w:val="top"/>
          </w:tcPr>
          <w:p>
            <w:pPr>
              <w:jc w:val="center"/>
              <w:rPr>
                <w:sz w:val="20"/>
              </w:rPr>
            </w:pPr>
            <w:r>
              <w:rPr>
                <w:sz w:val="20"/>
              </w:rPr>
              <w:t>5,8</w:t>
            </w:r>
          </w:p>
        </w:tc>
      </w:tr>
    </w:tbl>
    <w:p>
      <w:pPr>
        <w:ind w:left="220" w:leftChars="100" w:right="191" w:firstLine="0" w:firstLineChars="0"/>
        <w:jc w:val="both"/>
        <w:rPr>
          <w:rFonts w:hint="default"/>
          <w:sz w:val="24"/>
          <w:szCs w:val="24"/>
          <w:lang w:val="en-US"/>
        </w:rPr>
      </w:pPr>
      <w:r>
        <w:rPr>
          <w:sz w:val="20"/>
        </w:rPr>
        <w:t xml:space="preserve">Sumber: </w:t>
      </w:r>
      <w:r>
        <w:rPr>
          <w:i/>
          <w:iCs/>
          <w:sz w:val="20"/>
        </w:rPr>
        <w:t>U.S. Department of Homeland Security,</w:t>
      </w:r>
      <w:r>
        <w:rPr>
          <w:sz w:val="20"/>
        </w:rPr>
        <w:t xml:space="preserve"> 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sectPr>
          <w:headerReference r:id="rId5" w:type="default"/>
          <w:footerReference r:id="rId7" w:type="default"/>
          <w:headerReference r:id="rId6" w:type="even"/>
          <w:footerReference r:id="rId8" w:type="even"/>
          <w:pgSz w:w="12240" w:h="15840"/>
          <w:pgMar w:top="1701" w:right="1701" w:bottom="1701" w:left="1701" w:header="709" w:footer="709" w:gutter="0"/>
          <w:cols w:space="720" w:num="1"/>
          <w:docGrid w:linePitch="360" w:charSpace="0"/>
        </w:sectPr>
      </w:pPr>
    </w:p>
    <w:p>
      <w:pPr>
        <w:ind w:left="284" w:right="191" w:firstLine="425"/>
        <w:jc w:val="both"/>
        <w:rPr>
          <w:rFonts w:hint="default"/>
          <w:sz w:val="24"/>
          <w:szCs w:val="24"/>
          <w:lang w:val="en-US"/>
        </w:rPr>
      </w:pPr>
      <w:r>
        <w:rPr>
          <w:rFonts w:hint="default"/>
          <w:sz w:val="24"/>
          <w:szCs w:val="24"/>
          <w:lang w:val="en-US"/>
        </w:rPr>
        <w:t>Sedangkan, kasus suaka defensif yang diterima oleh EOIR berdasarkan negara asal mulai tahun 2016 hingga 2018 dapat dilihat pada tabel 1.3 berikut:</w:t>
      </w:r>
    </w:p>
    <w:p>
      <w:pPr>
        <w:ind w:firstLine="420"/>
        <w:jc w:val="center"/>
        <w:rPr>
          <w:rFonts w:eastAsia="Times New Roman"/>
          <w:b/>
          <w:bCs/>
          <w:szCs w:val="24"/>
        </w:rPr>
      </w:pPr>
      <w:r>
        <w:rPr>
          <w:rFonts w:eastAsia="Times New Roman"/>
          <w:b/>
          <w:bCs/>
          <w:sz w:val="24"/>
          <w:szCs w:val="24"/>
        </w:rPr>
        <w:t xml:space="preserve">Tabel </w:t>
      </w:r>
      <w:r>
        <w:rPr>
          <w:rFonts w:hint="default" w:eastAsia="Times New Roman"/>
          <w:b/>
          <w:bCs/>
          <w:sz w:val="24"/>
          <w:szCs w:val="24"/>
          <w:lang w:val="en-US"/>
        </w:rPr>
        <w:t>3</w:t>
      </w:r>
      <w:r>
        <w:rPr>
          <w:rFonts w:eastAsia="Times New Roman"/>
          <w:b/>
          <w:bCs/>
          <w:sz w:val="24"/>
          <w:szCs w:val="24"/>
        </w:rPr>
        <w:t xml:space="preserve"> Kasus Suaka Defensif yang Diterima oleh EOIR Berdasarkan Negara Asal Tahun 2016-2018</w:t>
      </w:r>
    </w:p>
    <w:tbl>
      <w:tblPr>
        <w:tblW w:w="8484"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150"/>
        <w:gridCol w:w="1150"/>
        <w:gridCol w:w="1150"/>
        <w:gridCol w:w="1167"/>
        <w:gridCol w:w="123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17" w:type="dxa"/>
            <w:vMerge w:val="restart"/>
            <w:vAlign w:val="top"/>
          </w:tcPr>
          <w:p>
            <w:pPr>
              <w:jc w:val="center"/>
              <w:rPr>
                <w:sz w:val="20"/>
              </w:rPr>
            </w:pPr>
          </w:p>
          <w:p>
            <w:pPr>
              <w:jc w:val="center"/>
              <w:rPr>
                <w:rFonts w:hint="default"/>
                <w:sz w:val="20"/>
                <w:lang w:val="en-US"/>
              </w:rPr>
            </w:pPr>
            <w:r>
              <w:rPr>
                <w:rFonts w:hint="default"/>
                <w:sz w:val="20"/>
                <w:lang w:val="en-US"/>
              </w:rPr>
              <w:t>Negara Kebangsaan</w:t>
            </w:r>
          </w:p>
        </w:tc>
        <w:tc>
          <w:tcPr>
            <w:tcW w:w="2300" w:type="dxa"/>
            <w:gridSpan w:val="2"/>
            <w:vAlign w:val="top"/>
          </w:tcPr>
          <w:p>
            <w:pPr>
              <w:jc w:val="center"/>
              <w:rPr>
                <w:sz w:val="20"/>
              </w:rPr>
            </w:pPr>
            <w:r>
              <w:rPr>
                <w:sz w:val="20"/>
              </w:rPr>
              <w:t>2016</w:t>
            </w:r>
          </w:p>
        </w:tc>
        <w:tc>
          <w:tcPr>
            <w:tcW w:w="2317" w:type="dxa"/>
            <w:gridSpan w:val="2"/>
            <w:vAlign w:val="top"/>
          </w:tcPr>
          <w:p>
            <w:pPr>
              <w:jc w:val="center"/>
              <w:rPr>
                <w:sz w:val="20"/>
              </w:rPr>
            </w:pPr>
            <w:r>
              <w:rPr>
                <w:sz w:val="20"/>
              </w:rPr>
              <w:t>2017</w:t>
            </w:r>
          </w:p>
        </w:tc>
        <w:tc>
          <w:tcPr>
            <w:tcW w:w="2550" w:type="dxa"/>
            <w:gridSpan w:val="2"/>
            <w:vAlign w:val="top"/>
          </w:tcPr>
          <w:p>
            <w:pPr>
              <w:jc w:val="center"/>
              <w:rPr>
                <w:sz w:val="20"/>
              </w:rPr>
            </w:pPr>
            <w:r>
              <w:rPr>
                <w:sz w:val="2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317" w:type="dxa"/>
            <w:vMerge w:val="continue"/>
            <w:vAlign w:val="top"/>
          </w:tcPr>
          <w:p>
            <w:pPr>
              <w:jc w:val="center"/>
              <w:rPr>
                <w:sz w:val="20"/>
              </w:rPr>
            </w:pPr>
          </w:p>
        </w:tc>
        <w:tc>
          <w:tcPr>
            <w:tcW w:w="1150" w:type="dxa"/>
            <w:vAlign w:val="top"/>
          </w:tcPr>
          <w:p>
            <w:pPr>
              <w:jc w:val="center"/>
              <w:rPr>
                <w:rFonts w:hint="default"/>
                <w:sz w:val="20"/>
                <w:lang w:val="en-US"/>
              </w:rPr>
            </w:pPr>
            <w:r>
              <w:rPr>
                <w:rFonts w:hint="default"/>
                <w:sz w:val="20"/>
                <w:lang w:val="en-US"/>
              </w:rPr>
              <w:t>Angka</w:t>
            </w:r>
          </w:p>
        </w:tc>
        <w:tc>
          <w:tcPr>
            <w:tcW w:w="1150" w:type="dxa"/>
            <w:vAlign w:val="top"/>
          </w:tcPr>
          <w:p>
            <w:pPr>
              <w:jc w:val="center"/>
              <w:rPr>
                <w:sz w:val="20"/>
              </w:rPr>
            </w:pPr>
            <w:r>
              <w:rPr>
                <w:sz w:val="20"/>
              </w:rPr>
              <w:t>Per</w:t>
            </w:r>
            <w:r>
              <w:rPr>
                <w:rFonts w:hint="default"/>
                <w:sz w:val="20"/>
                <w:lang w:val="en-US"/>
              </w:rPr>
              <w:t>sen</w:t>
            </w:r>
          </w:p>
        </w:tc>
        <w:tc>
          <w:tcPr>
            <w:tcW w:w="1150" w:type="dxa"/>
            <w:vAlign w:val="top"/>
          </w:tcPr>
          <w:p>
            <w:pPr>
              <w:jc w:val="center"/>
              <w:rPr>
                <w:rFonts w:hint="default"/>
                <w:sz w:val="20"/>
                <w:lang w:val="en-US"/>
              </w:rPr>
            </w:pPr>
            <w:r>
              <w:rPr>
                <w:rFonts w:hint="default"/>
                <w:sz w:val="20"/>
                <w:lang w:val="en-US"/>
              </w:rPr>
              <w:t>Angka</w:t>
            </w:r>
          </w:p>
        </w:tc>
        <w:tc>
          <w:tcPr>
            <w:tcW w:w="1167" w:type="dxa"/>
            <w:vAlign w:val="top"/>
          </w:tcPr>
          <w:p>
            <w:pPr>
              <w:jc w:val="center"/>
              <w:rPr>
                <w:sz w:val="20"/>
              </w:rPr>
            </w:pPr>
            <w:r>
              <w:rPr>
                <w:sz w:val="20"/>
              </w:rPr>
              <w:t>Per</w:t>
            </w:r>
            <w:r>
              <w:rPr>
                <w:rFonts w:hint="default"/>
                <w:sz w:val="20"/>
                <w:lang w:val="en-US"/>
              </w:rPr>
              <w:t>sen</w:t>
            </w:r>
          </w:p>
        </w:tc>
        <w:tc>
          <w:tcPr>
            <w:tcW w:w="1233" w:type="dxa"/>
            <w:vAlign w:val="top"/>
          </w:tcPr>
          <w:p>
            <w:pPr>
              <w:jc w:val="center"/>
              <w:rPr>
                <w:rFonts w:hint="default"/>
                <w:sz w:val="20"/>
                <w:lang w:val="en-US"/>
              </w:rPr>
            </w:pPr>
            <w:r>
              <w:rPr>
                <w:rFonts w:hint="default"/>
                <w:sz w:val="20"/>
                <w:lang w:val="en-US"/>
              </w:rPr>
              <w:t>Angka</w:t>
            </w:r>
          </w:p>
        </w:tc>
        <w:tc>
          <w:tcPr>
            <w:tcW w:w="1317"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317" w:type="dxa"/>
            <w:vAlign w:val="top"/>
          </w:tcPr>
          <w:p>
            <w:pPr>
              <w:jc w:val="center"/>
              <w:rPr>
                <w:sz w:val="20"/>
              </w:rPr>
            </w:pPr>
            <w:r>
              <w:rPr>
                <w:sz w:val="20"/>
              </w:rPr>
              <w:t>Total</w:t>
            </w:r>
          </w:p>
        </w:tc>
        <w:tc>
          <w:tcPr>
            <w:tcW w:w="1150" w:type="dxa"/>
            <w:vAlign w:val="top"/>
          </w:tcPr>
          <w:p>
            <w:pPr>
              <w:jc w:val="center"/>
              <w:rPr>
                <w:rFonts w:hint="default"/>
                <w:sz w:val="20"/>
                <w:lang w:val="en-US"/>
              </w:rPr>
            </w:pPr>
            <w:r>
              <w:rPr>
                <w:rFonts w:hint="default"/>
                <w:sz w:val="20"/>
                <w:lang w:val="en-US"/>
              </w:rPr>
              <w:t>60.101</w:t>
            </w:r>
          </w:p>
        </w:tc>
        <w:tc>
          <w:tcPr>
            <w:tcW w:w="1150" w:type="dxa"/>
            <w:vAlign w:val="top"/>
          </w:tcPr>
          <w:p>
            <w:pPr>
              <w:jc w:val="center"/>
              <w:rPr>
                <w:sz w:val="20"/>
              </w:rPr>
            </w:pPr>
            <w:r>
              <w:rPr>
                <w:sz w:val="20"/>
              </w:rPr>
              <w:t>100,0</w:t>
            </w:r>
          </w:p>
        </w:tc>
        <w:tc>
          <w:tcPr>
            <w:tcW w:w="1150" w:type="dxa"/>
            <w:vAlign w:val="top"/>
          </w:tcPr>
          <w:p>
            <w:pPr>
              <w:jc w:val="center"/>
              <w:rPr>
                <w:rFonts w:hint="default"/>
                <w:sz w:val="20"/>
                <w:lang w:val="en-US"/>
              </w:rPr>
            </w:pPr>
            <w:r>
              <w:rPr>
                <w:rFonts w:hint="default"/>
                <w:sz w:val="20"/>
                <w:lang w:val="en-US"/>
              </w:rPr>
              <w:t>104.314</w:t>
            </w:r>
          </w:p>
        </w:tc>
        <w:tc>
          <w:tcPr>
            <w:tcW w:w="1167" w:type="dxa"/>
            <w:vAlign w:val="top"/>
          </w:tcPr>
          <w:p>
            <w:pPr>
              <w:jc w:val="center"/>
              <w:rPr>
                <w:rFonts w:hint="default"/>
                <w:sz w:val="20"/>
                <w:lang w:val="en-US"/>
              </w:rPr>
            </w:pPr>
            <w:r>
              <w:rPr>
                <w:rFonts w:hint="default"/>
                <w:sz w:val="20"/>
                <w:lang w:val="en-US"/>
              </w:rPr>
              <w:t>100,0</w:t>
            </w:r>
          </w:p>
        </w:tc>
        <w:tc>
          <w:tcPr>
            <w:tcW w:w="1233" w:type="dxa"/>
            <w:vAlign w:val="top"/>
          </w:tcPr>
          <w:p>
            <w:pPr>
              <w:jc w:val="center"/>
              <w:rPr>
                <w:rFonts w:hint="default"/>
                <w:sz w:val="20"/>
                <w:lang w:val="en-US"/>
              </w:rPr>
            </w:pPr>
            <w:r>
              <w:rPr>
                <w:rFonts w:hint="default"/>
                <w:sz w:val="20"/>
                <w:lang w:val="en-US"/>
              </w:rPr>
              <w:t>103.174</w:t>
            </w:r>
          </w:p>
        </w:tc>
        <w:tc>
          <w:tcPr>
            <w:tcW w:w="1317"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17" w:type="dxa"/>
            <w:vAlign w:val="top"/>
          </w:tcPr>
          <w:p>
            <w:pPr>
              <w:jc w:val="center"/>
              <w:rPr>
                <w:sz w:val="20"/>
              </w:rPr>
            </w:pPr>
            <w:r>
              <w:rPr>
                <w:sz w:val="20"/>
              </w:rPr>
              <w:t>El Salvador</w:t>
            </w:r>
          </w:p>
        </w:tc>
        <w:tc>
          <w:tcPr>
            <w:tcW w:w="1150" w:type="dxa"/>
            <w:vAlign w:val="top"/>
          </w:tcPr>
          <w:p>
            <w:pPr>
              <w:jc w:val="center"/>
              <w:rPr>
                <w:sz w:val="20"/>
              </w:rPr>
            </w:pPr>
            <w:r>
              <w:rPr>
                <w:sz w:val="20"/>
              </w:rPr>
              <w:t>19.521</w:t>
            </w:r>
          </w:p>
        </w:tc>
        <w:tc>
          <w:tcPr>
            <w:tcW w:w="1150" w:type="dxa"/>
            <w:vAlign w:val="top"/>
          </w:tcPr>
          <w:p>
            <w:pPr>
              <w:jc w:val="center"/>
              <w:rPr>
                <w:sz w:val="20"/>
              </w:rPr>
            </w:pPr>
            <w:r>
              <w:rPr>
                <w:sz w:val="20"/>
              </w:rPr>
              <w:t>23,9</w:t>
            </w:r>
          </w:p>
        </w:tc>
        <w:tc>
          <w:tcPr>
            <w:tcW w:w="1150" w:type="dxa"/>
            <w:vAlign w:val="top"/>
          </w:tcPr>
          <w:p>
            <w:pPr>
              <w:jc w:val="center"/>
              <w:rPr>
                <w:sz w:val="20"/>
              </w:rPr>
            </w:pPr>
            <w:r>
              <w:rPr>
                <w:sz w:val="20"/>
              </w:rPr>
              <w:t>37.489</w:t>
            </w:r>
          </w:p>
        </w:tc>
        <w:tc>
          <w:tcPr>
            <w:tcW w:w="1167" w:type="dxa"/>
            <w:vAlign w:val="top"/>
          </w:tcPr>
          <w:p>
            <w:pPr>
              <w:jc w:val="center"/>
              <w:rPr>
                <w:sz w:val="20"/>
              </w:rPr>
            </w:pPr>
            <w:r>
              <w:rPr>
                <w:sz w:val="20"/>
              </w:rPr>
              <w:t>26,2</w:t>
            </w:r>
          </w:p>
        </w:tc>
        <w:tc>
          <w:tcPr>
            <w:tcW w:w="1233" w:type="dxa"/>
            <w:vAlign w:val="top"/>
          </w:tcPr>
          <w:p>
            <w:pPr>
              <w:jc w:val="center"/>
              <w:rPr>
                <w:sz w:val="20"/>
              </w:rPr>
            </w:pPr>
            <w:r>
              <w:rPr>
                <w:sz w:val="20"/>
              </w:rPr>
              <w:t>31.371</w:t>
            </w:r>
          </w:p>
        </w:tc>
        <w:tc>
          <w:tcPr>
            <w:tcW w:w="1317" w:type="dxa"/>
            <w:vAlign w:val="top"/>
          </w:tcPr>
          <w:p>
            <w:pPr>
              <w:jc w:val="center"/>
              <w:rPr>
                <w:sz w:val="20"/>
              </w:rPr>
            </w:pPr>
            <w:r>
              <w:rPr>
                <w:sz w:val="20"/>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17" w:type="dxa"/>
            <w:vAlign w:val="top"/>
          </w:tcPr>
          <w:p>
            <w:pPr>
              <w:jc w:val="center"/>
              <w:rPr>
                <w:sz w:val="20"/>
              </w:rPr>
            </w:pPr>
            <w:r>
              <w:rPr>
                <w:sz w:val="20"/>
              </w:rPr>
              <w:t>Guatemala</w:t>
            </w:r>
          </w:p>
        </w:tc>
        <w:tc>
          <w:tcPr>
            <w:tcW w:w="1150" w:type="dxa"/>
            <w:vAlign w:val="top"/>
          </w:tcPr>
          <w:p>
            <w:pPr>
              <w:jc w:val="center"/>
              <w:rPr>
                <w:sz w:val="20"/>
              </w:rPr>
            </w:pPr>
            <w:r>
              <w:rPr>
                <w:sz w:val="20"/>
              </w:rPr>
              <w:t>13.024</w:t>
            </w:r>
          </w:p>
        </w:tc>
        <w:tc>
          <w:tcPr>
            <w:tcW w:w="1150" w:type="dxa"/>
            <w:vAlign w:val="top"/>
          </w:tcPr>
          <w:p>
            <w:pPr>
              <w:jc w:val="center"/>
              <w:rPr>
                <w:sz w:val="20"/>
              </w:rPr>
            </w:pPr>
            <w:r>
              <w:rPr>
                <w:sz w:val="20"/>
              </w:rPr>
              <w:t>15,9</w:t>
            </w:r>
          </w:p>
        </w:tc>
        <w:tc>
          <w:tcPr>
            <w:tcW w:w="1150" w:type="dxa"/>
            <w:vAlign w:val="top"/>
          </w:tcPr>
          <w:p>
            <w:pPr>
              <w:jc w:val="center"/>
              <w:rPr>
                <w:sz w:val="20"/>
              </w:rPr>
            </w:pPr>
            <w:r>
              <w:rPr>
                <w:sz w:val="20"/>
              </w:rPr>
              <w:t>23.511</w:t>
            </w:r>
          </w:p>
        </w:tc>
        <w:tc>
          <w:tcPr>
            <w:tcW w:w="1167" w:type="dxa"/>
            <w:vAlign w:val="top"/>
          </w:tcPr>
          <w:p>
            <w:pPr>
              <w:jc w:val="center"/>
              <w:rPr>
                <w:sz w:val="20"/>
              </w:rPr>
            </w:pPr>
            <w:r>
              <w:rPr>
                <w:sz w:val="20"/>
              </w:rPr>
              <w:t>16,4</w:t>
            </w:r>
          </w:p>
        </w:tc>
        <w:tc>
          <w:tcPr>
            <w:tcW w:w="1233" w:type="dxa"/>
            <w:vAlign w:val="top"/>
          </w:tcPr>
          <w:p>
            <w:pPr>
              <w:jc w:val="center"/>
              <w:rPr>
                <w:sz w:val="20"/>
              </w:rPr>
            </w:pPr>
            <w:r>
              <w:rPr>
                <w:sz w:val="20"/>
              </w:rPr>
              <w:t>26.055</w:t>
            </w:r>
          </w:p>
        </w:tc>
        <w:tc>
          <w:tcPr>
            <w:tcW w:w="1317" w:type="dxa"/>
            <w:vAlign w:val="top"/>
          </w:tcPr>
          <w:p>
            <w:pPr>
              <w:jc w:val="center"/>
              <w:rPr>
                <w:sz w:val="20"/>
              </w:rPr>
            </w:pPr>
            <w:r>
              <w:rPr>
                <w:sz w:val="20"/>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17" w:type="dxa"/>
            <w:vAlign w:val="top"/>
          </w:tcPr>
          <w:p>
            <w:pPr>
              <w:jc w:val="center"/>
              <w:rPr>
                <w:sz w:val="20"/>
              </w:rPr>
            </w:pPr>
            <w:r>
              <w:rPr>
                <w:sz w:val="20"/>
              </w:rPr>
              <w:t>Mexico</w:t>
            </w:r>
          </w:p>
        </w:tc>
        <w:tc>
          <w:tcPr>
            <w:tcW w:w="1150" w:type="dxa"/>
            <w:vAlign w:val="top"/>
          </w:tcPr>
          <w:p>
            <w:pPr>
              <w:jc w:val="center"/>
              <w:rPr>
                <w:sz w:val="20"/>
              </w:rPr>
            </w:pPr>
            <w:r>
              <w:rPr>
                <w:sz w:val="20"/>
              </w:rPr>
              <w:t>15.673</w:t>
            </w:r>
          </w:p>
        </w:tc>
        <w:tc>
          <w:tcPr>
            <w:tcW w:w="1150" w:type="dxa"/>
            <w:vAlign w:val="top"/>
          </w:tcPr>
          <w:p>
            <w:pPr>
              <w:jc w:val="center"/>
              <w:rPr>
                <w:sz w:val="20"/>
              </w:rPr>
            </w:pPr>
            <w:r>
              <w:rPr>
                <w:sz w:val="20"/>
              </w:rPr>
              <w:t>19,2</w:t>
            </w:r>
          </w:p>
        </w:tc>
        <w:tc>
          <w:tcPr>
            <w:tcW w:w="1150" w:type="dxa"/>
            <w:vAlign w:val="top"/>
          </w:tcPr>
          <w:p>
            <w:pPr>
              <w:jc w:val="center"/>
              <w:rPr>
                <w:sz w:val="20"/>
              </w:rPr>
            </w:pPr>
            <w:r>
              <w:rPr>
                <w:sz w:val="20"/>
              </w:rPr>
              <w:t>22.340</w:t>
            </w:r>
          </w:p>
        </w:tc>
        <w:tc>
          <w:tcPr>
            <w:tcW w:w="1167" w:type="dxa"/>
            <w:vAlign w:val="top"/>
          </w:tcPr>
          <w:p>
            <w:pPr>
              <w:jc w:val="center"/>
              <w:rPr>
                <w:sz w:val="20"/>
              </w:rPr>
            </w:pPr>
            <w:r>
              <w:rPr>
                <w:sz w:val="20"/>
              </w:rPr>
              <w:t>15,6</w:t>
            </w:r>
          </w:p>
        </w:tc>
        <w:tc>
          <w:tcPr>
            <w:tcW w:w="1233" w:type="dxa"/>
            <w:vAlign w:val="top"/>
          </w:tcPr>
          <w:p>
            <w:pPr>
              <w:jc w:val="center"/>
              <w:rPr>
                <w:sz w:val="20"/>
              </w:rPr>
            </w:pPr>
            <w:r>
              <w:rPr>
                <w:sz w:val="20"/>
              </w:rPr>
              <w:t>24.412</w:t>
            </w:r>
          </w:p>
        </w:tc>
        <w:tc>
          <w:tcPr>
            <w:tcW w:w="1317" w:type="dxa"/>
            <w:vAlign w:val="top"/>
          </w:tcPr>
          <w:p>
            <w:pPr>
              <w:jc w:val="center"/>
              <w:rPr>
                <w:sz w:val="20"/>
              </w:rPr>
            </w:pPr>
            <w:r>
              <w:rPr>
                <w:sz w:val="20"/>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17" w:type="dxa"/>
            <w:vAlign w:val="top"/>
          </w:tcPr>
          <w:p>
            <w:pPr>
              <w:jc w:val="center"/>
              <w:rPr>
                <w:sz w:val="20"/>
              </w:rPr>
            </w:pPr>
            <w:r>
              <w:rPr>
                <w:sz w:val="20"/>
              </w:rPr>
              <w:t xml:space="preserve">Honduras </w:t>
            </w:r>
          </w:p>
        </w:tc>
        <w:tc>
          <w:tcPr>
            <w:tcW w:w="1150" w:type="dxa"/>
            <w:vAlign w:val="top"/>
          </w:tcPr>
          <w:p>
            <w:pPr>
              <w:jc w:val="center"/>
              <w:rPr>
                <w:sz w:val="20"/>
              </w:rPr>
            </w:pPr>
            <w:r>
              <w:rPr>
                <w:sz w:val="20"/>
              </w:rPr>
              <w:t>11.883</w:t>
            </w:r>
          </w:p>
        </w:tc>
        <w:tc>
          <w:tcPr>
            <w:tcW w:w="1150" w:type="dxa"/>
            <w:vAlign w:val="top"/>
          </w:tcPr>
          <w:p>
            <w:pPr>
              <w:jc w:val="center"/>
              <w:rPr>
                <w:sz w:val="20"/>
              </w:rPr>
            </w:pPr>
            <w:r>
              <w:rPr>
                <w:sz w:val="20"/>
              </w:rPr>
              <w:t>14,5</w:t>
            </w:r>
          </w:p>
        </w:tc>
        <w:tc>
          <w:tcPr>
            <w:tcW w:w="1150" w:type="dxa"/>
            <w:vAlign w:val="top"/>
          </w:tcPr>
          <w:p>
            <w:pPr>
              <w:jc w:val="center"/>
              <w:rPr>
                <w:sz w:val="20"/>
              </w:rPr>
            </w:pPr>
            <w:r>
              <w:rPr>
                <w:sz w:val="20"/>
              </w:rPr>
              <w:t>20.974</w:t>
            </w:r>
          </w:p>
        </w:tc>
        <w:tc>
          <w:tcPr>
            <w:tcW w:w="1167" w:type="dxa"/>
            <w:vAlign w:val="top"/>
          </w:tcPr>
          <w:p>
            <w:pPr>
              <w:jc w:val="center"/>
              <w:rPr>
                <w:sz w:val="20"/>
              </w:rPr>
            </w:pPr>
            <w:r>
              <w:rPr>
                <w:sz w:val="20"/>
              </w:rPr>
              <w:t>14,7</w:t>
            </w:r>
          </w:p>
        </w:tc>
        <w:tc>
          <w:tcPr>
            <w:tcW w:w="1233" w:type="dxa"/>
            <w:vAlign w:val="top"/>
          </w:tcPr>
          <w:p>
            <w:pPr>
              <w:jc w:val="center"/>
              <w:rPr>
                <w:sz w:val="20"/>
              </w:rPr>
            </w:pPr>
            <w:r>
              <w:rPr>
                <w:sz w:val="20"/>
              </w:rPr>
              <w:t>21.336</w:t>
            </w:r>
          </w:p>
        </w:tc>
        <w:tc>
          <w:tcPr>
            <w:tcW w:w="1317" w:type="dxa"/>
            <w:vAlign w:val="top"/>
          </w:tcPr>
          <w:p>
            <w:pPr>
              <w:jc w:val="center"/>
              <w:rPr>
                <w:sz w:val="20"/>
              </w:rPr>
            </w:pPr>
            <w:r>
              <w:rPr>
                <w:sz w:val="20"/>
              </w:rPr>
              <w:t>13,4</w:t>
            </w:r>
          </w:p>
        </w:tc>
      </w:tr>
    </w:tbl>
    <w:p>
      <w:pPr>
        <w:ind w:left="220" w:leftChars="100" w:firstLine="0" w:firstLineChars="0"/>
        <w:rPr>
          <w:sz w:val="20"/>
        </w:rPr>
      </w:pPr>
      <w:r>
        <w:rPr>
          <w:sz w:val="20"/>
        </w:rPr>
        <w:t xml:space="preserve">Sumber: </w:t>
      </w:r>
      <w:r>
        <w:rPr>
          <w:i/>
          <w:iCs/>
          <w:sz w:val="20"/>
        </w:rPr>
        <w:t>U.S. Department of Justice,</w:t>
      </w:r>
      <w:r>
        <w:rPr>
          <w:sz w:val="20"/>
        </w:rPr>
        <w:t xml:space="preserve"> 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pPr>
      <w:r>
        <w:rPr>
          <w:rFonts w:hint="default"/>
          <w:sz w:val="24"/>
          <w:szCs w:val="24"/>
          <w:lang w:val="en-US"/>
        </w:rPr>
        <w:t>Berdasarkan ketiga tabel diatas dapat disimpulkan bahwa negara asal pengungsi dan pencari suaka dari Amerika Tengah dengan jumlah terbanyak yaitu El Salvador. Kemudian diikuti oleh negara asal pencari suaka seperti Guatemala dan Honduras.</w:t>
      </w:r>
    </w:p>
    <w:p>
      <w:pPr>
        <w:ind w:left="284" w:right="191" w:firstLine="425"/>
        <w:jc w:val="both"/>
        <w:rPr>
          <w:rFonts w:hint="default"/>
          <w:sz w:val="24"/>
          <w:szCs w:val="24"/>
          <w:lang w:val="en-US"/>
        </w:rPr>
      </w:pPr>
      <w:r>
        <w:rPr>
          <w:rFonts w:hint="default"/>
          <w:sz w:val="24"/>
          <w:szCs w:val="24"/>
          <w:lang w:val="en-US"/>
        </w:rPr>
        <w:t xml:space="preserve">Arus migrasi ini menimbulkan masalah bagi AS, dimana AS merasa terbebani dengan penangkapan serta pemrosesan ratusan ribu pengungsi dan pencari suaka di perbatasan AS-Meksiko (CNN Indonesia. 2019). Guna mengatasi gelombang migrasi tersebut, pada tanggal 26 Juli 2019, AS menginisiasi Perjanjian </w:t>
      </w:r>
      <w:r>
        <w:rPr>
          <w:rFonts w:hint="default"/>
          <w:i/>
          <w:iCs/>
          <w:sz w:val="24"/>
          <w:szCs w:val="24"/>
          <w:lang w:val="en-US"/>
        </w:rPr>
        <w:t>Safe Third Country</w:t>
      </w:r>
      <w:r>
        <w:rPr>
          <w:rFonts w:hint="default"/>
          <w:sz w:val="24"/>
          <w:szCs w:val="24"/>
          <w:lang w:val="en-US"/>
        </w:rPr>
        <w:t xml:space="preserve"> dengan Guatemala. Perjanjian tersebut ditandatangani oleh pejabat sekretaris keamanan dalam negeri AS dan menteri pemerintahan Guatemala (</w:t>
      </w:r>
      <w:r>
        <w:rPr>
          <w:rFonts w:hint="default"/>
          <w:i/>
          <w:iCs/>
          <w:sz w:val="24"/>
          <w:szCs w:val="24"/>
          <w:lang w:val="en-US"/>
        </w:rPr>
        <w:t>U.S. Embassy in Uruguay</w:t>
      </w:r>
      <w:r>
        <w:rPr>
          <w:rFonts w:hint="default"/>
          <w:sz w:val="24"/>
          <w:szCs w:val="24"/>
          <w:lang w:val="en-US"/>
        </w:rPr>
        <w:t xml:space="preserve">. 2019). Inti dari Perjanjian </w:t>
      </w:r>
      <w:r>
        <w:rPr>
          <w:rFonts w:hint="default"/>
          <w:i/>
          <w:iCs/>
          <w:sz w:val="24"/>
          <w:szCs w:val="24"/>
          <w:lang w:val="en-US"/>
        </w:rPr>
        <w:t>Safe Third Country</w:t>
      </w:r>
      <w:r>
        <w:rPr>
          <w:rFonts w:hint="default"/>
          <w:sz w:val="24"/>
          <w:szCs w:val="24"/>
          <w:lang w:val="en-US"/>
        </w:rPr>
        <w:t xml:space="preserve"> ini adalah untuk memberikan perlindungan sementara yang setara kepada pengungsi dan pencari suaka di bawah hukum migrasi pihak penerima yaitu AS dan Guatemala. Perjanjian ini memiliki pengecualian yaitu tidak berlaku bagi warga negara Guatemala sendiri (AILA. 2019).</w:t>
      </w:r>
    </w:p>
    <w:p>
      <w:pPr>
        <w:ind w:left="284" w:right="191" w:firstLine="425"/>
        <w:jc w:val="both"/>
        <w:rPr>
          <w:rFonts w:hint="default"/>
          <w:i w:val="0"/>
          <w:iCs w:val="0"/>
          <w:sz w:val="24"/>
          <w:szCs w:val="24"/>
          <w:lang w:val="en-US"/>
        </w:rPr>
      </w:pPr>
      <w:r>
        <w:rPr>
          <w:rFonts w:hint="default"/>
          <w:i w:val="0"/>
          <w:iCs w:val="0"/>
          <w:sz w:val="24"/>
          <w:szCs w:val="24"/>
          <w:lang w:val="en-US"/>
        </w:rPr>
        <w:t>Penerapan perjanjian ini berlaku sejak 2019 hingga 2021. Dalam perjanjian tersebut dijelaskan bahwa perjanjian ini akan diperbarui dalam rentang waktu 2 tahun (</w:t>
      </w:r>
      <w:r>
        <w:rPr>
          <w:rFonts w:hint="default"/>
          <w:sz w:val="24"/>
          <w:szCs w:val="24"/>
          <w:lang w:val="en-US"/>
        </w:rPr>
        <w:t>(AILA. 2019)</w:t>
      </w:r>
      <w:r>
        <w:rPr>
          <w:rFonts w:hint="default"/>
          <w:i w:val="0"/>
          <w:iCs w:val="0"/>
          <w:sz w:val="24"/>
          <w:szCs w:val="24"/>
          <w:lang w:val="en-US"/>
        </w:rPr>
        <w:t>. Namun, pemerintahan Biden yang menggantikan pemerintahan Trump mengakhiri kesepakatan ini pada 6 Februari 2021 (</w:t>
      </w:r>
      <w:r>
        <w:rPr>
          <w:rFonts w:hint="default"/>
          <w:i/>
          <w:iCs/>
          <w:sz w:val="24"/>
          <w:szCs w:val="24"/>
          <w:lang w:val="en-US"/>
        </w:rPr>
        <w:t xml:space="preserve">Immigration impact. </w:t>
      </w:r>
      <w:r>
        <w:rPr>
          <w:rFonts w:hint="default"/>
          <w:i w:val="0"/>
          <w:iCs w:val="0"/>
          <w:sz w:val="24"/>
          <w:szCs w:val="24"/>
          <w:lang w:val="en-US"/>
        </w:rPr>
        <w:t>2021).</w:t>
      </w:r>
    </w:p>
    <w:p>
      <w:pPr>
        <w:ind w:left="284" w:right="191" w:firstLine="425"/>
        <w:jc w:val="both"/>
        <w:rPr>
          <w:rFonts w:hint="default"/>
          <w:i w:val="0"/>
          <w:iCs w:val="0"/>
          <w:sz w:val="24"/>
          <w:szCs w:val="24"/>
          <w:lang w:val="en-US"/>
        </w:rPr>
      </w:pPr>
    </w:p>
    <w:p>
      <w:pPr>
        <w:ind w:left="1134" w:right="900" w:hanging="850"/>
        <w:jc w:val="both"/>
        <w:rPr>
          <w:b/>
          <w:sz w:val="24"/>
          <w:szCs w:val="24"/>
        </w:rPr>
        <w:sectPr>
          <w:footerReference r:id="rId9" w:type="default"/>
          <w:footerReference r:id="rId10" w:type="even"/>
          <w:pgSz w:w="12240" w:h="15840"/>
          <w:pgMar w:top="1701" w:right="1701" w:bottom="1701" w:left="1701" w:header="709" w:footer="709" w:gutter="0"/>
          <w:pgNumType w:fmt="decimal" w:start="155"/>
          <w:cols w:space="720" w:num="1"/>
          <w:docGrid w:linePitch="360" w:charSpace="0"/>
        </w:sectPr>
      </w:pPr>
    </w:p>
    <w:p>
      <w:pPr>
        <w:ind w:left="1134" w:right="900" w:hanging="850"/>
        <w:jc w:val="both"/>
        <w:rPr>
          <w:b/>
          <w:sz w:val="24"/>
          <w:szCs w:val="24"/>
        </w:rPr>
      </w:pPr>
      <w:r>
        <w:rPr>
          <w:b/>
          <w:sz w:val="24"/>
          <w:szCs w:val="24"/>
        </w:rPr>
        <w:t>Landasan konseptual</w:t>
      </w:r>
    </w:p>
    <w:p>
      <w:pPr>
        <w:tabs>
          <w:tab w:val="left" w:pos="8647"/>
        </w:tabs>
        <w:ind w:left="284" w:right="191" w:firstLine="425"/>
        <w:jc w:val="both"/>
        <w:rPr>
          <w:i/>
          <w:sz w:val="24"/>
          <w:szCs w:val="24"/>
        </w:rPr>
      </w:pPr>
      <w:r>
        <w:rPr>
          <w:rFonts w:hint="default" w:eastAsia="Times New Roman"/>
          <w:sz w:val="24"/>
          <w:szCs w:val="24"/>
          <w:lang w:val="en-US"/>
        </w:rPr>
        <w:t>K</w:t>
      </w:r>
      <w:r>
        <w:rPr>
          <w:rFonts w:eastAsia="Times New Roman"/>
          <w:sz w:val="24"/>
          <w:szCs w:val="24"/>
        </w:rPr>
        <w:t>erjasama internasional menurut K. J Holsti adalah pandangan dari sebuah negara bahwa kebijakan yang diputuskan oleh negara lainnya nantinya dapat membantu negara tersebut dalam meraih kepentingan serta nilai-nilainya</w:t>
      </w:r>
      <w:r>
        <w:rPr>
          <w:rFonts w:hint="default" w:eastAsia="Times New Roman"/>
          <w:sz w:val="24"/>
          <w:szCs w:val="24"/>
          <w:lang w:val="en-US"/>
        </w:rPr>
        <w:t xml:space="preserve"> (KJ</w:t>
      </w:r>
      <w:r>
        <w:rPr>
          <w:rFonts w:eastAsia="Times New Roman"/>
          <w:sz w:val="24"/>
          <w:szCs w:val="24"/>
        </w:rPr>
        <w:t>.</w:t>
      </w:r>
      <w:r>
        <w:rPr>
          <w:rFonts w:hint="default" w:eastAsia="Times New Roman"/>
          <w:sz w:val="24"/>
          <w:szCs w:val="24"/>
          <w:lang w:val="en-US"/>
        </w:rPr>
        <w:t xml:space="preserve"> Holsti. 1993).</w:t>
      </w:r>
    </w:p>
    <w:p>
      <w:pPr>
        <w:tabs>
          <w:tab w:val="left" w:pos="8647"/>
        </w:tabs>
        <w:ind w:left="284" w:right="191" w:firstLine="425"/>
        <w:jc w:val="both"/>
        <w:rPr>
          <w:sz w:val="24"/>
          <w:szCs w:val="24"/>
        </w:rPr>
      </w:pPr>
      <w:r>
        <w:rPr>
          <w:sz w:val="24"/>
          <w:szCs w:val="24"/>
        </w:rPr>
        <w:t>Menurut Budiono Kusumohamidjojo, kerjasama internasional dibagi menjadi 4 bentuk, yaitu:</w:t>
      </w:r>
    </w:p>
    <w:p>
      <w:pPr>
        <w:tabs>
          <w:tab w:val="left" w:pos="8647"/>
        </w:tabs>
        <w:ind w:left="660" w:leftChars="300" w:right="191" w:firstLine="0" w:firstLineChars="0"/>
        <w:jc w:val="both"/>
        <w:rPr>
          <w:sz w:val="24"/>
          <w:szCs w:val="24"/>
        </w:rPr>
      </w:pPr>
      <w:r>
        <w:rPr>
          <w:sz w:val="24"/>
          <w:szCs w:val="24"/>
        </w:rPr>
        <w:t>1) Kerjasama Universal, yaitu kerjasama yang memadukan semua bangsa untuk menyatukan cita-cita dalam tujuan bersama untuk menghindarkan disintegrasi internasional.</w:t>
      </w:r>
    </w:p>
    <w:p>
      <w:pPr>
        <w:tabs>
          <w:tab w:val="left" w:pos="8647"/>
        </w:tabs>
        <w:ind w:left="660" w:leftChars="300" w:right="191" w:firstLine="0" w:firstLineChars="0"/>
        <w:jc w:val="both"/>
        <w:rPr>
          <w:sz w:val="24"/>
          <w:szCs w:val="24"/>
        </w:rPr>
      </w:pPr>
      <w:r>
        <w:rPr>
          <w:sz w:val="24"/>
          <w:szCs w:val="24"/>
        </w:rPr>
        <w:t>2) Kerjasama Regional, merupakan kerjasama yang terjadi di antara negara-negara yang secara geografis berdekatan. Selain itu, kesamaan pandangan politik dan kebudayaan atau perbedaan struktur dan produktifitas ekonomi dari negara-negara yang ingin bekerjasama juga menjadi tolak ukur dalam sebuah kerjasama regional.</w:t>
      </w:r>
    </w:p>
    <w:p>
      <w:pPr>
        <w:tabs>
          <w:tab w:val="left" w:pos="8647"/>
        </w:tabs>
        <w:ind w:left="660" w:leftChars="300" w:right="191" w:firstLine="0" w:firstLineChars="0"/>
        <w:jc w:val="both"/>
        <w:rPr>
          <w:sz w:val="24"/>
          <w:szCs w:val="24"/>
        </w:rPr>
      </w:pPr>
      <w:r>
        <w:rPr>
          <w:sz w:val="24"/>
          <w:szCs w:val="24"/>
        </w:rPr>
        <w:t>3) Kerjasama Ideologis, adalah kerjasama yang tidak memiliki bentuk untuk melanggengkan ideologi atau kekuasaan tertentu. Kerjasama ideologis menganggap negara sebagai penghambat utama atau bahkan sebagai sasaran perjuangan dari kelompok atau negara.</w:t>
      </w:r>
    </w:p>
    <w:p>
      <w:pPr>
        <w:tabs>
          <w:tab w:val="left" w:pos="8647"/>
        </w:tabs>
        <w:ind w:left="660" w:leftChars="300" w:right="191" w:firstLine="0" w:firstLineChars="0"/>
        <w:jc w:val="both"/>
        <w:rPr>
          <w:rFonts w:hint="default"/>
          <w:sz w:val="24"/>
          <w:szCs w:val="24"/>
          <w:lang w:val="en-US"/>
        </w:rPr>
      </w:pPr>
      <w:r>
        <w:rPr>
          <w:sz w:val="24"/>
          <w:szCs w:val="24"/>
        </w:rPr>
        <w:t>4) Kerjasama Perekonomian dan Teknik ( Kerjasama Fungsional), yaitu bentuk kerjasama yang dilakukan oleh 2 negara atau lebih, dimana biasanya memanfaatkan fungsi mediasi dari organisasi internasional untuk menyelesaikan masalah tertentu secara teknis, seperti penyelesaian konflik, pengembangan ilmu pengetahuan, pemberdayaan wilayah perbatasan dan pengelolaan lingkungan hidup, hingga pengembangan wilayah pantai dan agraris</w:t>
      </w:r>
      <w:r>
        <w:rPr>
          <w:rFonts w:hint="default"/>
          <w:sz w:val="24"/>
          <w:szCs w:val="24"/>
          <w:lang w:val="en-US"/>
        </w:rPr>
        <w:t xml:space="preserve"> (Budiono Kusumohamidjojo. 1997). </w:t>
      </w:r>
    </w:p>
    <w:p>
      <w:pPr>
        <w:tabs>
          <w:tab w:val="left" w:pos="8647"/>
        </w:tabs>
        <w:ind w:left="284" w:right="191" w:firstLine="425"/>
        <w:jc w:val="both"/>
        <w:rPr>
          <w:rFonts w:hint="default"/>
          <w:sz w:val="24"/>
          <w:szCs w:val="24"/>
          <w:lang w:val="en-US"/>
        </w:rPr>
      </w:pPr>
      <w:r>
        <w:rPr>
          <w:rFonts w:hint="default"/>
          <w:sz w:val="24"/>
          <w:szCs w:val="24"/>
          <w:lang w:val="en-US"/>
        </w:rPr>
        <w:t>Kerjasama antara AS dan Guatemala merupakan kerjasama fungsional dalam bidang sosial, dimana Guatemala sebagai negara donor yang membutuhkan dukungan dari negara superior yaitu AS.</w:t>
      </w:r>
    </w:p>
    <w:p>
      <w:pPr>
        <w:tabs>
          <w:tab w:val="left" w:pos="8647"/>
        </w:tabs>
        <w:ind w:left="284" w:right="191"/>
        <w:jc w:val="both"/>
        <w:rPr>
          <w:b/>
          <w:sz w:val="24"/>
          <w:szCs w:val="24"/>
        </w:rPr>
      </w:pPr>
      <w:r>
        <w:rPr>
          <w:b/>
          <w:sz w:val="24"/>
          <w:szCs w:val="24"/>
        </w:rPr>
        <w:t>Metodologi Penelitian</w:t>
      </w:r>
    </w:p>
    <w:p>
      <w:pPr>
        <w:tabs>
          <w:tab w:val="left" w:pos="8647"/>
        </w:tabs>
        <w:ind w:left="284" w:right="191" w:firstLine="425"/>
        <w:jc w:val="both"/>
        <w:rPr>
          <w:rFonts w:hint="default"/>
          <w:sz w:val="24"/>
          <w:szCs w:val="24"/>
          <w:lang w:val="en-US"/>
        </w:rPr>
        <w:sectPr>
          <w:footerReference r:id="rId11" w:type="default"/>
          <w:footerReference r:id="rId12" w:type="even"/>
          <w:pgSz w:w="12240" w:h="15840"/>
          <w:pgMar w:top="1701" w:right="1701" w:bottom="1701" w:left="1701" w:header="709" w:footer="709" w:gutter="0"/>
          <w:pgNumType w:fmt="decimal" w:start="156"/>
          <w:cols w:space="720" w:num="1"/>
          <w:docGrid w:linePitch="360" w:charSpace="0"/>
        </w:sectPr>
      </w:pPr>
      <w:r>
        <w:rPr>
          <w:rFonts w:hint="default"/>
          <w:sz w:val="24"/>
          <w:szCs w:val="24"/>
          <w:lang w:val="en-US"/>
        </w:rPr>
        <w:t xml:space="preserve">Pada penelitian ini, penulis menggunakan jenis penelitian deskriptif, yang bertujuan untuk menggambarkan implementasi Perjanjian </w:t>
      </w:r>
      <w:r>
        <w:rPr>
          <w:rFonts w:hint="default"/>
          <w:i/>
          <w:iCs/>
          <w:sz w:val="24"/>
          <w:szCs w:val="24"/>
          <w:lang w:val="en-US"/>
        </w:rPr>
        <w:t>Safe Third Country</w:t>
      </w:r>
      <w:r>
        <w:rPr>
          <w:rFonts w:hint="default"/>
          <w:sz w:val="24"/>
          <w:szCs w:val="24"/>
          <w:lang w:val="en-US"/>
        </w:rPr>
        <w:t xml:space="preserve"> antara Amerika Serikat dan Guatemala tahun 2019-2020 (pada masa pemerintahan Trump). Penulis menggunakan jenis data sekunder dalam penelitian ini, yaitu jenis data yang berasal dari data yang dikumpulkan melalui artikel, internet, jurnal, dan buku. Teknik </w:t>
      </w:r>
    </w:p>
    <w:p>
      <w:pPr>
        <w:tabs>
          <w:tab w:val="left" w:pos="8647"/>
        </w:tabs>
        <w:ind w:left="284" w:right="191" w:firstLine="425"/>
        <w:jc w:val="both"/>
        <w:rPr>
          <w:sz w:val="24"/>
          <w:szCs w:val="24"/>
        </w:rPr>
      </w:pPr>
      <w:r>
        <w:rPr>
          <w:rFonts w:hint="default"/>
          <w:sz w:val="24"/>
          <w:szCs w:val="24"/>
          <w:lang w:val="en-US"/>
        </w:rPr>
        <w:t>pengumpulan data yang digunakan adalah kajian literatur, sehingga data yang digunakan penulis berasal dari penelitian kualitatif dan tinjauan pustaka. Teknik analisis data dalam penelitian ini bersifat kualitatif dimana olahan data lebih menekankan pada makna naratif.</w:t>
      </w:r>
    </w:p>
    <w:p>
      <w:pPr>
        <w:tabs>
          <w:tab w:val="left" w:pos="8647"/>
        </w:tabs>
        <w:ind w:left="284" w:right="191"/>
        <w:jc w:val="both"/>
        <w:rPr>
          <w:b/>
          <w:sz w:val="24"/>
          <w:szCs w:val="24"/>
        </w:rPr>
      </w:pPr>
      <w:r>
        <w:rPr>
          <w:b/>
          <w:sz w:val="24"/>
          <w:szCs w:val="24"/>
        </w:rPr>
        <w:t>Hasil dan Pembahasan</w:t>
      </w:r>
    </w:p>
    <w:p>
      <w:pPr>
        <w:numPr>
          <w:ilvl w:val="0"/>
          <w:numId w:val="1"/>
        </w:numPr>
        <w:tabs>
          <w:tab w:val="left" w:pos="8647"/>
        </w:tabs>
        <w:ind w:left="284" w:right="191"/>
        <w:jc w:val="both"/>
        <w:rPr>
          <w:rFonts w:hint="default"/>
          <w:b/>
          <w:sz w:val="24"/>
          <w:szCs w:val="24"/>
          <w:lang w:val="en-US"/>
        </w:rPr>
      </w:pPr>
      <w:r>
        <w:rPr>
          <w:rFonts w:hint="default"/>
          <w:b/>
          <w:sz w:val="24"/>
          <w:szCs w:val="24"/>
          <w:lang w:val="en-US"/>
        </w:rPr>
        <w:t>Fenomena Migrasi dari Amerika Tengah ke AS</w:t>
      </w:r>
    </w:p>
    <w:p>
      <w:pPr>
        <w:tabs>
          <w:tab w:val="left" w:pos="8647"/>
        </w:tabs>
        <w:ind w:left="284" w:right="191" w:firstLine="425"/>
        <w:jc w:val="both"/>
        <w:rPr>
          <w:rFonts w:hint="default"/>
          <w:sz w:val="24"/>
          <w:szCs w:val="24"/>
          <w:lang w:val="en-US"/>
        </w:rPr>
      </w:pPr>
      <w:r>
        <w:rPr>
          <w:rFonts w:hint="default"/>
          <w:sz w:val="24"/>
          <w:szCs w:val="24"/>
          <w:lang w:val="en-US"/>
        </w:rPr>
        <w:t>Fenomena migrasi pengungsi dan pencari suaka dari Amerika Tengah ke AS ini terjadi sejak tahun 1821 dari El Salvador, dari Honduras terjadi mulai tahun 1998, dan dari Guatemala terjadi sejak tahun 1960 (MPI. 2018). Fenomena ini terus terjadi hingga tahun 2000an, adapun grafik jumlah migran Guatemala, Honduras, dan El Salvador yang memasuki perbatasan Barat Daya AS dari tahun 2011-2021, yaitu sebagai berikut:</w:t>
      </w:r>
    </w:p>
    <w:p>
      <w:pPr>
        <w:tabs>
          <w:tab w:val="left" w:pos="8647"/>
        </w:tabs>
        <w:ind w:left="284" w:right="191" w:firstLine="425"/>
        <w:jc w:val="both"/>
        <w:rPr>
          <w:rFonts w:hint="default"/>
          <w:b/>
          <w:bCs/>
          <w:sz w:val="24"/>
          <w:szCs w:val="24"/>
          <w:lang w:val="en-US"/>
        </w:rPr>
      </w:pPr>
      <w:r>
        <w:rPr>
          <w:rFonts w:hint="default"/>
          <w:b/>
          <w:bCs/>
          <w:sz w:val="24"/>
          <w:szCs w:val="24"/>
          <w:lang w:val="en-US"/>
        </w:rPr>
        <w:t>Grafik 1 Jumlah Migran Guatemala, Honduras, dan El Salvador yang Memasuki Perbatasan Barat Daya AS dari Tahun 2011-2021 (dalam ribuan)</w:t>
      </w:r>
    </w:p>
    <w:p>
      <w:pPr>
        <w:tabs>
          <w:tab w:val="left" w:pos="8647"/>
        </w:tabs>
        <w:ind w:left="284" w:right="191" w:firstLine="425"/>
        <w:jc w:val="both"/>
        <w:rPr>
          <w:rFonts w:hint="default"/>
          <w:b w:val="0"/>
          <w:bCs w:val="0"/>
          <w:sz w:val="24"/>
          <w:szCs w:val="24"/>
          <w:lang w:val="en-US"/>
        </w:rPr>
      </w:pPr>
      <w:r>
        <w:rPr>
          <w:rFonts w:ascii="time new roman" w:hAnsi="time new roman" w:eastAsia="Times New Roman" w:cs="time new roman"/>
          <w:color w:val="000000"/>
          <w:sz w:val="22"/>
          <w:szCs w:val="24"/>
          <w:lang w:val="en-US" w:eastAsia="en-US" w:bidi="ar-SA"/>
        </w:rPr>
        <w:pict>
          <v:shape id="Picture 17" o:spid="_x0000_s1104" type="#_x0000_t75" style="height:163.7pt;width:290.65pt;rotation:0f;" o:ole="f" fillcolor="#FFFFFF" filled="f" o:preferrelative="t" stroked="f" coordorigin="0,0" coordsize="21600,21600">
            <v:fill on="f" color2="#FFFFFF" focus="0%"/>
            <v:imagedata cropleft="-116f" croptop="9672f" cropbottom="16172f" gain="65536f" blacklevel="0f" gamma="0" o:title="gmabar fenomena migrasi bab 3" r:id="rId38"/>
            <o:lock v:ext="edit" position="f" selection="f" grouping="f" rotation="f" cropping="f" text="f" aspectratio="t"/>
            <w10:wrap type="none"/>
            <w10:anchorlock/>
          </v:shape>
        </w:pict>
      </w:r>
    </w:p>
    <w:p>
      <w:pPr>
        <w:spacing w:line="240" w:lineRule="auto"/>
        <w:ind w:firstLine="420"/>
        <w:rPr>
          <w:sz w:val="20"/>
        </w:rPr>
      </w:pPr>
      <w:r>
        <w:rPr>
          <w:sz w:val="20"/>
        </w:rPr>
        <w:t>Sumber : U.S. Customs and Border Protection data tersedia di https://crsreports.congress.gov</w:t>
      </w:r>
    </w:p>
    <w:p>
      <w:pPr>
        <w:tabs>
          <w:tab w:val="left" w:pos="8647"/>
        </w:tabs>
        <w:ind w:left="284" w:right="191" w:firstLine="425"/>
        <w:jc w:val="both"/>
        <w:rPr>
          <w:rFonts w:hint="default"/>
          <w:b w:val="0"/>
          <w:bCs/>
          <w:sz w:val="24"/>
          <w:szCs w:val="24"/>
          <w:lang w:val="en-US"/>
        </w:rPr>
      </w:pPr>
      <w:r>
        <w:rPr>
          <w:rFonts w:hint="default"/>
          <w:b w:val="0"/>
          <w:bCs/>
          <w:sz w:val="24"/>
          <w:szCs w:val="24"/>
          <w:lang w:val="en-US"/>
        </w:rPr>
        <w:t xml:space="preserve">Dari grafik di atas dapat disimpulkan bahwa jumlah migran terbanyak yang memasuki perbatasan Barat Daya AS dari tahun 2011-2021 adalah dari Guatemala, dan kemudian disusul oleh Honduras dan El Salvador. </w:t>
      </w:r>
    </w:p>
    <w:p>
      <w:pPr>
        <w:ind w:left="284" w:right="191" w:firstLine="425"/>
        <w:jc w:val="both"/>
        <w:rPr>
          <w:rFonts w:hint="default"/>
          <w:sz w:val="24"/>
          <w:szCs w:val="24"/>
          <w:lang w:val="en-US"/>
        </w:rPr>
      </w:pPr>
      <w:r>
        <w:rPr>
          <w:rFonts w:hint="default"/>
          <w:sz w:val="24"/>
          <w:szCs w:val="24"/>
          <w:lang w:val="en-US"/>
        </w:rPr>
        <w:t>Migran terbagi ke dalam 2 kategori. Pertama, migran yang terkategori sebagai pengungsi (UNHCR Indonesia. 2017). Pengungsi yang datang ke AS berdasarkan negara asal mulai tahun 2017 hingga 2019 dapat dilihat pada tabel 3.1 berikut:</w:t>
      </w:r>
    </w:p>
    <w:p>
      <w:pPr>
        <w:ind w:left="284" w:right="191" w:firstLine="425"/>
        <w:jc w:val="both"/>
        <w:rPr>
          <w:rFonts w:hint="default"/>
          <w:sz w:val="24"/>
          <w:szCs w:val="24"/>
          <w:lang w:val="en-US"/>
        </w:rPr>
      </w:pPr>
    </w:p>
    <w:p>
      <w:pPr>
        <w:jc w:val="center"/>
        <w:rPr>
          <w:rFonts w:eastAsia="Times New Roman"/>
          <w:b/>
          <w:bCs/>
          <w:sz w:val="24"/>
          <w:szCs w:val="24"/>
        </w:rPr>
        <w:sectPr>
          <w:footerReference r:id="rId13" w:type="default"/>
          <w:footerReference r:id="rId14" w:type="even"/>
          <w:pgSz w:w="12240" w:h="15840"/>
          <w:pgMar w:top="1701" w:right="1701" w:bottom="1701" w:left="1701" w:header="709" w:footer="709" w:gutter="0"/>
          <w:pgNumType w:fmt="decimal" w:start="157"/>
          <w:cols w:space="720" w:num="1"/>
          <w:docGrid w:linePitch="360" w:charSpace="0"/>
        </w:sectPr>
      </w:pPr>
    </w:p>
    <w:p>
      <w:pPr>
        <w:jc w:val="center"/>
        <w:rPr>
          <w:rFonts w:hint="default" w:eastAsia="Times New Roman"/>
          <w:b/>
          <w:bCs/>
          <w:sz w:val="24"/>
          <w:szCs w:val="24"/>
          <w:lang w:val="en-US"/>
        </w:rPr>
      </w:pPr>
      <w:r>
        <w:rPr>
          <w:rFonts w:eastAsia="Times New Roman"/>
          <w:b/>
          <w:bCs/>
          <w:sz w:val="24"/>
          <w:szCs w:val="24"/>
        </w:rPr>
        <w:t xml:space="preserve">Tabel </w:t>
      </w:r>
      <w:r>
        <w:rPr>
          <w:rFonts w:hint="default" w:eastAsia="Times New Roman"/>
          <w:b/>
          <w:bCs/>
          <w:sz w:val="24"/>
          <w:szCs w:val="24"/>
          <w:lang w:val="en-US"/>
        </w:rPr>
        <w:t>4</w:t>
      </w:r>
      <w:r>
        <w:rPr>
          <w:rFonts w:eastAsia="Times New Roman"/>
          <w:b/>
          <w:bCs/>
          <w:sz w:val="24"/>
          <w:szCs w:val="24"/>
        </w:rPr>
        <w:t xml:space="preserve"> Kedatangan Pengungsi ke AS Berdasarkan Negara Asal Tahun 201</w:t>
      </w:r>
      <w:r>
        <w:rPr>
          <w:rFonts w:hint="default" w:eastAsia="Times New Roman"/>
          <w:b/>
          <w:bCs/>
          <w:sz w:val="24"/>
          <w:szCs w:val="24"/>
          <w:lang w:val="en-US"/>
        </w:rPr>
        <w:t>7</w:t>
      </w:r>
      <w:r>
        <w:rPr>
          <w:rFonts w:eastAsia="Times New Roman"/>
          <w:b/>
          <w:bCs/>
          <w:sz w:val="24"/>
          <w:szCs w:val="24"/>
        </w:rPr>
        <w:t>-201</w:t>
      </w:r>
      <w:r>
        <w:rPr>
          <w:rFonts w:hint="default" w:eastAsia="Times New Roman"/>
          <w:b/>
          <w:bCs/>
          <w:sz w:val="24"/>
          <w:szCs w:val="24"/>
          <w:lang w:val="en-US"/>
        </w:rPr>
        <w:t>9</w:t>
      </w:r>
    </w:p>
    <w:tbl>
      <w:tblPr>
        <w:tblW w:w="830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143"/>
        <w:gridCol w:w="1110"/>
        <w:gridCol w:w="1173"/>
        <w:gridCol w:w="1222"/>
        <w:gridCol w:w="117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22" w:type="dxa"/>
            <w:vMerge w:val="restart"/>
            <w:vAlign w:val="top"/>
          </w:tcPr>
          <w:p>
            <w:pPr>
              <w:jc w:val="center"/>
              <w:rPr>
                <w:rFonts w:hint="default"/>
                <w:sz w:val="20"/>
                <w:lang w:val="en-US"/>
              </w:rPr>
            </w:pPr>
          </w:p>
          <w:p>
            <w:pPr>
              <w:jc w:val="center"/>
              <w:rPr>
                <w:rFonts w:hint="default"/>
                <w:sz w:val="20"/>
                <w:lang w:val="en-US"/>
              </w:rPr>
            </w:pPr>
            <w:r>
              <w:rPr>
                <w:rFonts w:hint="default"/>
                <w:sz w:val="20"/>
                <w:lang w:val="en-US"/>
              </w:rPr>
              <w:t>Negara Kebangsaan</w:t>
            </w:r>
          </w:p>
        </w:tc>
        <w:tc>
          <w:tcPr>
            <w:tcW w:w="2253" w:type="dxa"/>
            <w:gridSpan w:val="2"/>
            <w:vAlign w:val="top"/>
          </w:tcPr>
          <w:p>
            <w:pPr>
              <w:jc w:val="center"/>
              <w:rPr>
                <w:sz w:val="20"/>
              </w:rPr>
            </w:pPr>
            <w:r>
              <w:rPr>
                <w:sz w:val="20"/>
              </w:rPr>
              <w:t>201</w:t>
            </w:r>
            <w:r>
              <w:rPr>
                <w:rFonts w:hint="default"/>
                <w:sz w:val="20"/>
                <w:lang w:val="en-US"/>
              </w:rPr>
              <w:t>7</w:t>
            </w:r>
          </w:p>
        </w:tc>
        <w:tc>
          <w:tcPr>
            <w:tcW w:w="2395" w:type="dxa"/>
            <w:gridSpan w:val="2"/>
            <w:vAlign w:val="top"/>
          </w:tcPr>
          <w:p>
            <w:pPr>
              <w:jc w:val="center"/>
              <w:rPr>
                <w:sz w:val="20"/>
              </w:rPr>
            </w:pPr>
            <w:r>
              <w:rPr>
                <w:sz w:val="20"/>
              </w:rPr>
              <w:t>201</w:t>
            </w:r>
            <w:r>
              <w:rPr>
                <w:rFonts w:hint="default"/>
                <w:sz w:val="20"/>
                <w:lang w:val="en-US"/>
              </w:rPr>
              <w:t>8</w:t>
            </w:r>
          </w:p>
        </w:tc>
        <w:tc>
          <w:tcPr>
            <w:tcW w:w="2430" w:type="dxa"/>
            <w:gridSpan w:val="2"/>
            <w:vAlign w:val="top"/>
          </w:tcPr>
          <w:p>
            <w:pPr>
              <w:jc w:val="center"/>
              <w:rPr>
                <w:sz w:val="20"/>
              </w:rPr>
            </w:pPr>
            <w:r>
              <w:rPr>
                <w:sz w:val="20"/>
              </w:rPr>
              <w:t>201</w:t>
            </w:r>
            <w:r>
              <w:rPr>
                <w:rFonts w:hint="default"/>
                <w:sz w:val="2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222" w:type="dxa"/>
            <w:vMerge w:val="continue"/>
            <w:vAlign w:val="top"/>
          </w:tcPr>
          <w:p>
            <w:pPr>
              <w:jc w:val="center"/>
              <w:rPr>
                <w:sz w:val="20"/>
              </w:rPr>
            </w:pPr>
          </w:p>
        </w:tc>
        <w:tc>
          <w:tcPr>
            <w:tcW w:w="1143" w:type="dxa"/>
            <w:vAlign w:val="top"/>
          </w:tcPr>
          <w:p>
            <w:pPr>
              <w:jc w:val="center"/>
              <w:rPr>
                <w:rFonts w:hint="default"/>
                <w:sz w:val="20"/>
                <w:lang w:val="en-US"/>
              </w:rPr>
            </w:pPr>
            <w:r>
              <w:rPr>
                <w:rFonts w:hint="default"/>
                <w:sz w:val="20"/>
                <w:lang w:val="en-US"/>
              </w:rPr>
              <w:t>Angka</w:t>
            </w:r>
          </w:p>
        </w:tc>
        <w:tc>
          <w:tcPr>
            <w:tcW w:w="1110" w:type="dxa"/>
            <w:vAlign w:val="top"/>
          </w:tcPr>
          <w:p>
            <w:pPr>
              <w:jc w:val="center"/>
              <w:rPr>
                <w:rFonts w:hint="default"/>
                <w:sz w:val="20"/>
                <w:lang w:val="en-US"/>
              </w:rPr>
            </w:pPr>
            <w:r>
              <w:rPr>
                <w:rFonts w:hint="default"/>
                <w:sz w:val="20"/>
                <w:lang w:val="en-US"/>
              </w:rPr>
              <w:t>Persen</w:t>
            </w:r>
          </w:p>
        </w:tc>
        <w:tc>
          <w:tcPr>
            <w:tcW w:w="1173" w:type="dxa"/>
            <w:vAlign w:val="top"/>
          </w:tcPr>
          <w:p>
            <w:pPr>
              <w:jc w:val="center"/>
              <w:rPr>
                <w:rFonts w:hint="default"/>
                <w:sz w:val="20"/>
                <w:lang w:val="en-US"/>
              </w:rPr>
            </w:pPr>
            <w:r>
              <w:rPr>
                <w:rFonts w:hint="default"/>
                <w:sz w:val="20"/>
                <w:lang w:val="en-US"/>
              </w:rPr>
              <w:t>Angka</w:t>
            </w:r>
          </w:p>
        </w:tc>
        <w:tc>
          <w:tcPr>
            <w:tcW w:w="1222" w:type="dxa"/>
            <w:vAlign w:val="top"/>
          </w:tcPr>
          <w:p>
            <w:pPr>
              <w:jc w:val="center"/>
              <w:rPr>
                <w:sz w:val="20"/>
              </w:rPr>
            </w:pPr>
            <w:r>
              <w:rPr>
                <w:sz w:val="20"/>
              </w:rPr>
              <w:t>Per</w:t>
            </w:r>
            <w:r>
              <w:rPr>
                <w:rFonts w:hint="default"/>
                <w:sz w:val="20"/>
                <w:lang w:val="en-US"/>
              </w:rPr>
              <w:t>sen</w:t>
            </w:r>
          </w:p>
        </w:tc>
        <w:tc>
          <w:tcPr>
            <w:tcW w:w="1175" w:type="dxa"/>
            <w:vAlign w:val="top"/>
          </w:tcPr>
          <w:p>
            <w:pPr>
              <w:jc w:val="center"/>
              <w:rPr>
                <w:rFonts w:hint="default"/>
                <w:sz w:val="20"/>
                <w:lang w:val="en-US"/>
              </w:rPr>
            </w:pPr>
            <w:r>
              <w:rPr>
                <w:rFonts w:hint="default"/>
                <w:sz w:val="20"/>
                <w:lang w:val="en-US"/>
              </w:rPr>
              <w:t>Angka</w:t>
            </w:r>
          </w:p>
        </w:tc>
        <w:tc>
          <w:tcPr>
            <w:tcW w:w="1255"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Total</w:t>
            </w:r>
          </w:p>
        </w:tc>
        <w:tc>
          <w:tcPr>
            <w:tcW w:w="1143" w:type="dxa"/>
            <w:vAlign w:val="top"/>
          </w:tcPr>
          <w:p>
            <w:pPr>
              <w:jc w:val="center"/>
              <w:rPr>
                <w:rFonts w:hint="default"/>
                <w:sz w:val="20"/>
                <w:lang w:val="en-US"/>
              </w:rPr>
            </w:pPr>
            <w:r>
              <w:rPr>
                <w:rFonts w:hint="default"/>
                <w:sz w:val="20"/>
                <w:lang w:val="en-US"/>
              </w:rPr>
              <w:t>9.430</w:t>
            </w:r>
          </w:p>
        </w:tc>
        <w:tc>
          <w:tcPr>
            <w:tcW w:w="1110" w:type="dxa"/>
            <w:vAlign w:val="top"/>
          </w:tcPr>
          <w:p>
            <w:pPr>
              <w:jc w:val="center"/>
              <w:rPr>
                <w:sz w:val="20"/>
              </w:rPr>
            </w:pPr>
            <w:r>
              <w:rPr>
                <w:sz w:val="20"/>
              </w:rPr>
              <w:t>100,0</w:t>
            </w:r>
          </w:p>
        </w:tc>
        <w:tc>
          <w:tcPr>
            <w:tcW w:w="1173" w:type="dxa"/>
            <w:vAlign w:val="top"/>
          </w:tcPr>
          <w:p>
            <w:pPr>
              <w:jc w:val="center"/>
              <w:rPr>
                <w:rFonts w:hint="default"/>
                <w:sz w:val="20"/>
                <w:lang w:val="en-US"/>
              </w:rPr>
            </w:pPr>
            <w:r>
              <w:rPr>
                <w:rFonts w:hint="default"/>
                <w:sz w:val="20"/>
                <w:lang w:val="en-US"/>
              </w:rPr>
              <w:t>6.354</w:t>
            </w:r>
          </w:p>
        </w:tc>
        <w:tc>
          <w:tcPr>
            <w:tcW w:w="1222" w:type="dxa"/>
            <w:vAlign w:val="top"/>
          </w:tcPr>
          <w:p>
            <w:pPr>
              <w:jc w:val="center"/>
              <w:rPr>
                <w:sz w:val="20"/>
              </w:rPr>
            </w:pPr>
            <w:r>
              <w:rPr>
                <w:sz w:val="20"/>
              </w:rPr>
              <w:t>100,0</w:t>
            </w:r>
          </w:p>
        </w:tc>
        <w:tc>
          <w:tcPr>
            <w:tcW w:w="1175" w:type="dxa"/>
            <w:vAlign w:val="top"/>
          </w:tcPr>
          <w:p>
            <w:pPr>
              <w:jc w:val="center"/>
              <w:rPr>
                <w:rFonts w:hint="default"/>
                <w:sz w:val="20"/>
                <w:lang w:val="en-US"/>
              </w:rPr>
            </w:pPr>
            <w:r>
              <w:rPr>
                <w:rFonts w:hint="default"/>
                <w:sz w:val="20"/>
                <w:lang w:val="en-US"/>
              </w:rPr>
              <w:t>8.198</w:t>
            </w:r>
          </w:p>
        </w:tc>
        <w:tc>
          <w:tcPr>
            <w:tcW w:w="1255"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B</w:t>
            </w:r>
            <w:r>
              <w:rPr>
                <w:rFonts w:hint="default"/>
                <w:sz w:val="20"/>
                <w:lang w:val="en-US"/>
              </w:rPr>
              <w:t>urma</w:t>
            </w:r>
          </w:p>
        </w:tc>
        <w:tc>
          <w:tcPr>
            <w:tcW w:w="1143" w:type="dxa"/>
            <w:vAlign w:val="top"/>
          </w:tcPr>
          <w:p>
            <w:pPr>
              <w:jc w:val="center"/>
              <w:rPr>
                <w:rFonts w:hint="default"/>
                <w:sz w:val="20"/>
                <w:lang w:val="en-US"/>
              </w:rPr>
            </w:pPr>
            <w:r>
              <w:rPr>
                <w:rFonts w:hint="default"/>
                <w:sz w:val="20"/>
                <w:lang w:val="en-US"/>
              </w:rPr>
              <w:t>5.078</w:t>
            </w:r>
          </w:p>
        </w:tc>
        <w:tc>
          <w:tcPr>
            <w:tcW w:w="1110" w:type="dxa"/>
            <w:vAlign w:val="top"/>
          </w:tcPr>
          <w:p>
            <w:pPr>
              <w:jc w:val="center"/>
              <w:rPr>
                <w:rFonts w:hint="default"/>
                <w:sz w:val="20"/>
                <w:lang w:val="en-US"/>
              </w:rPr>
            </w:pPr>
            <w:r>
              <w:rPr>
                <w:rFonts w:hint="default"/>
                <w:sz w:val="20"/>
                <w:lang w:val="en-US"/>
              </w:rPr>
              <w:t>9,5</w:t>
            </w:r>
          </w:p>
        </w:tc>
        <w:tc>
          <w:tcPr>
            <w:tcW w:w="1173" w:type="dxa"/>
            <w:vAlign w:val="top"/>
          </w:tcPr>
          <w:p>
            <w:pPr>
              <w:jc w:val="center"/>
              <w:rPr>
                <w:rFonts w:hint="default"/>
                <w:sz w:val="20"/>
                <w:lang w:val="en-US"/>
              </w:rPr>
            </w:pPr>
            <w:r>
              <w:rPr>
                <w:rFonts w:hint="default"/>
                <w:sz w:val="20"/>
                <w:lang w:val="en-US"/>
              </w:rPr>
              <w:t>3.555</w:t>
            </w:r>
          </w:p>
        </w:tc>
        <w:tc>
          <w:tcPr>
            <w:tcW w:w="1222" w:type="dxa"/>
            <w:vAlign w:val="top"/>
          </w:tcPr>
          <w:p>
            <w:pPr>
              <w:jc w:val="center"/>
              <w:rPr>
                <w:rFonts w:hint="default"/>
                <w:sz w:val="20"/>
                <w:lang w:val="en-US"/>
              </w:rPr>
            </w:pPr>
            <w:r>
              <w:rPr>
                <w:rFonts w:hint="default"/>
                <w:sz w:val="20"/>
                <w:lang w:val="en-US"/>
              </w:rPr>
              <w:t>15,9</w:t>
            </w:r>
          </w:p>
        </w:tc>
        <w:tc>
          <w:tcPr>
            <w:tcW w:w="1175" w:type="dxa"/>
            <w:vAlign w:val="top"/>
          </w:tcPr>
          <w:p>
            <w:pPr>
              <w:jc w:val="center"/>
              <w:rPr>
                <w:rFonts w:hint="default"/>
                <w:sz w:val="20"/>
                <w:lang w:val="en-US"/>
              </w:rPr>
            </w:pPr>
            <w:r>
              <w:rPr>
                <w:rFonts w:hint="default"/>
                <w:sz w:val="20"/>
                <w:lang w:val="en-US"/>
              </w:rPr>
              <w:t>4.932</w:t>
            </w:r>
          </w:p>
        </w:tc>
        <w:tc>
          <w:tcPr>
            <w:tcW w:w="1255" w:type="dxa"/>
            <w:vAlign w:val="top"/>
          </w:tcPr>
          <w:p>
            <w:pPr>
              <w:jc w:val="center"/>
              <w:rPr>
                <w:rFonts w:hint="default"/>
                <w:sz w:val="20"/>
                <w:lang w:val="en-US"/>
              </w:rPr>
            </w:pPr>
            <w:r>
              <w:rPr>
                <w:rFonts w:hint="default"/>
                <w:sz w:val="20"/>
                <w:lang w:val="en-US"/>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222" w:type="dxa"/>
            <w:vAlign w:val="top"/>
          </w:tcPr>
          <w:p>
            <w:pPr>
              <w:jc w:val="center"/>
              <w:rPr>
                <w:sz w:val="20"/>
              </w:rPr>
            </w:pPr>
            <w:r>
              <w:rPr>
                <w:sz w:val="20"/>
              </w:rPr>
              <w:t>Eritrea</w:t>
            </w:r>
          </w:p>
        </w:tc>
        <w:tc>
          <w:tcPr>
            <w:tcW w:w="1143" w:type="dxa"/>
            <w:vAlign w:val="top"/>
          </w:tcPr>
          <w:p>
            <w:pPr>
              <w:jc w:val="center"/>
              <w:rPr>
                <w:rFonts w:hint="default"/>
                <w:sz w:val="20"/>
                <w:lang w:val="en-US"/>
              </w:rPr>
            </w:pPr>
            <w:r>
              <w:rPr>
                <w:rFonts w:hint="default"/>
                <w:sz w:val="20"/>
                <w:lang w:val="en-US"/>
              </w:rPr>
              <w:t>1.917</w:t>
            </w:r>
          </w:p>
        </w:tc>
        <w:tc>
          <w:tcPr>
            <w:tcW w:w="1110" w:type="dxa"/>
            <w:vAlign w:val="top"/>
          </w:tcPr>
          <w:p>
            <w:pPr>
              <w:jc w:val="center"/>
              <w:rPr>
                <w:rFonts w:hint="default"/>
                <w:sz w:val="20"/>
                <w:lang w:val="en-US"/>
              </w:rPr>
            </w:pPr>
            <w:r>
              <w:rPr>
                <w:rFonts w:hint="default"/>
                <w:sz w:val="20"/>
                <w:lang w:val="en-US"/>
              </w:rPr>
              <w:t>3,6</w:t>
            </w:r>
          </w:p>
        </w:tc>
        <w:tc>
          <w:tcPr>
            <w:tcW w:w="1173" w:type="dxa"/>
            <w:vAlign w:val="top"/>
          </w:tcPr>
          <w:p>
            <w:pPr>
              <w:jc w:val="center"/>
              <w:rPr>
                <w:rFonts w:hint="default"/>
                <w:sz w:val="20"/>
                <w:lang w:val="en-US"/>
              </w:rPr>
            </w:pPr>
            <w:r>
              <w:rPr>
                <w:rFonts w:hint="default"/>
                <w:sz w:val="20"/>
                <w:lang w:val="en-US"/>
              </w:rPr>
              <w:t>1.269</w:t>
            </w:r>
          </w:p>
        </w:tc>
        <w:tc>
          <w:tcPr>
            <w:tcW w:w="1222" w:type="dxa"/>
            <w:vAlign w:val="top"/>
          </w:tcPr>
          <w:p>
            <w:pPr>
              <w:jc w:val="center"/>
              <w:rPr>
                <w:rFonts w:hint="default"/>
                <w:sz w:val="20"/>
                <w:lang w:val="en-US"/>
              </w:rPr>
            </w:pPr>
            <w:r>
              <w:rPr>
                <w:rFonts w:hint="default"/>
                <w:sz w:val="20"/>
                <w:lang w:val="en-US"/>
              </w:rPr>
              <w:t>5,7</w:t>
            </w:r>
          </w:p>
        </w:tc>
        <w:tc>
          <w:tcPr>
            <w:tcW w:w="1175" w:type="dxa"/>
            <w:vAlign w:val="top"/>
          </w:tcPr>
          <w:p>
            <w:pPr>
              <w:jc w:val="center"/>
              <w:rPr>
                <w:rFonts w:hint="default"/>
                <w:sz w:val="20"/>
                <w:lang w:val="en-US"/>
              </w:rPr>
            </w:pPr>
            <w:r>
              <w:rPr>
                <w:rFonts w:hint="default"/>
                <w:sz w:val="20"/>
                <w:lang w:val="en-US"/>
              </w:rPr>
              <w:t>1.757</w:t>
            </w:r>
          </w:p>
        </w:tc>
        <w:tc>
          <w:tcPr>
            <w:tcW w:w="1255" w:type="dxa"/>
            <w:vAlign w:val="top"/>
          </w:tcPr>
          <w:p>
            <w:pPr>
              <w:jc w:val="center"/>
              <w:rPr>
                <w:rFonts w:hint="default"/>
                <w:sz w:val="20"/>
                <w:lang w:val="en-US"/>
              </w:rPr>
            </w:pPr>
            <w:r>
              <w:rPr>
                <w:rFonts w:hint="default"/>
                <w:sz w:val="20"/>
                <w:lang w:val="en-U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222" w:type="dxa"/>
            <w:vAlign w:val="top"/>
          </w:tcPr>
          <w:p>
            <w:pPr>
              <w:jc w:val="center"/>
              <w:rPr>
                <w:sz w:val="20"/>
              </w:rPr>
            </w:pPr>
            <w:r>
              <w:rPr>
                <w:sz w:val="20"/>
              </w:rPr>
              <w:t>Afghanistan</w:t>
            </w:r>
          </w:p>
        </w:tc>
        <w:tc>
          <w:tcPr>
            <w:tcW w:w="1143" w:type="dxa"/>
            <w:vAlign w:val="top"/>
          </w:tcPr>
          <w:p>
            <w:pPr>
              <w:jc w:val="center"/>
              <w:rPr>
                <w:rFonts w:hint="default"/>
                <w:sz w:val="20"/>
                <w:lang w:val="en-US"/>
              </w:rPr>
            </w:pPr>
            <w:r>
              <w:rPr>
                <w:rFonts w:hint="default"/>
                <w:sz w:val="20"/>
                <w:lang w:val="en-US"/>
              </w:rPr>
              <w:t>1.311</w:t>
            </w:r>
          </w:p>
        </w:tc>
        <w:tc>
          <w:tcPr>
            <w:tcW w:w="1110" w:type="dxa"/>
            <w:vAlign w:val="top"/>
          </w:tcPr>
          <w:p>
            <w:pPr>
              <w:jc w:val="center"/>
              <w:rPr>
                <w:rFonts w:hint="default"/>
                <w:sz w:val="20"/>
                <w:lang w:val="en-US"/>
              </w:rPr>
            </w:pPr>
            <w:r>
              <w:rPr>
                <w:rFonts w:hint="default"/>
                <w:sz w:val="20"/>
                <w:lang w:val="en-US"/>
              </w:rPr>
              <w:t>2,4</w:t>
            </w:r>
          </w:p>
        </w:tc>
        <w:tc>
          <w:tcPr>
            <w:tcW w:w="1173" w:type="dxa"/>
            <w:vAlign w:val="top"/>
          </w:tcPr>
          <w:p>
            <w:pPr>
              <w:jc w:val="center"/>
              <w:rPr>
                <w:rFonts w:hint="default"/>
                <w:sz w:val="20"/>
                <w:lang w:val="en-US"/>
              </w:rPr>
            </w:pPr>
            <w:r>
              <w:rPr>
                <w:rFonts w:hint="default"/>
                <w:sz w:val="20"/>
                <w:lang w:val="en-US"/>
              </w:rPr>
              <w:t>805</w:t>
            </w:r>
          </w:p>
        </w:tc>
        <w:tc>
          <w:tcPr>
            <w:tcW w:w="1222" w:type="dxa"/>
            <w:vAlign w:val="top"/>
          </w:tcPr>
          <w:p>
            <w:pPr>
              <w:jc w:val="center"/>
              <w:rPr>
                <w:rFonts w:hint="default"/>
                <w:sz w:val="20"/>
                <w:lang w:val="en-US"/>
              </w:rPr>
            </w:pPr>
            <w:r>
              <w:rPr>
                <w:rFonts w:hint="default"/>
                <w:sz w:val="20"/>
                <w:lang w:val="en-US"/>
              </w:rPr>
              <w:t>3,6</w:t>
            </w:r>
          </w:p>
        </w:tc>
        <w:tc>
          <w:tcPr>
            <w:tcW w:w="1175" w:type="dxa"/>
            <w:vAlign w:val="top"/>
          </w:tcPr>
          <w:p>
            <w:pPr>
              <w:jc w:val="center"/>
              <w:rPr>
                <w:rFonts w:hint="default"/>
                <w:sz w:val="20"/>
                <w:lang w:val="en-US"/>
              </w:rPr>
            </w:pPr>
            <w:r>
              <w:rPr>
                <w:rFonts w:hint="default"/>
                <w:sz w:val="20"/>
                <w:lang w:val="en-US"/>
              </w:rPr>
              <w:t>1.198</w:t>
            </w:r>
          </w:p>
        </w:tc>
        <w:tc>
          <w:tcPr>
            <w:tcW w:w="1255" w:type="dxa"/>
            <w:vAlign w:val="top"/>
          </w:tcPr>
          <w:p>
            <w:pPr>
              <w:jc w:val="center"/>
              <w:rPr>
                <w:rFonts w:hint="default"/>
                <w:sz w:val="20"/>
                <w:lang w:val="en-US"/>
              </w:rPr>
            </w:pPr>
            <w:r>
              <w:rPr>
                <w:rFonts w:hint="default"/>
                <w:sz w:val="20"/>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22" w:type="dxa"/>
            <w:vAlign w:val="top"/>
          </w:tcPr>
          <w:p>
            <w:pPr>
              <w:jc w:val="center"/>
              <w:rPr>
                <w:sz w:val="20"/>
              </w:rPr>
            </w:pPr>
            <w:r>
              <w:rPr>
                <w:sz w:val="20"/>
              </w:rPr>
              <w:t>El Salvador</w:t>
            </w:r>
          </w:p>
        </w:tc>
        <w:tc>
          <w:tcPr>
            <w:tcW w:w="1143" w:type="dxa"/>
            <w:vAlign w:val="top"/>
          </w:tcPr>
          <w:p>
            <w:pPr>
              <w:jc w:val="center"/>
              <w:rPr>
                <w:rFonts w:hint="default"/>
                <w:sz w:val="20"/>
                <w:lang w:val="en-US"/>
              </w:rPr>
            </w:pPr>
            <w:r>
              <w:rPr>
                <w:rFonts w:hint="default"/>
                <w:sz w:val="20"/>
                <w:lang w:val="en-US"/>
              </w:rPr>
              <w:t>1.124</w:t>
            </w:r>
          </w:p>
        </w:tc>
        <w:tc>
          <w:tcPr>
            <w:tcW w:w="1110" w:type="dxa"/>
            <w:vAlign w:val="top"/>
          </w:tcPr>
          <w:p>
            <w:pPr>
              <w:jc w:val="center"/>
              <w:rPr>
                <w:rFonts w:hint="default"/>
                <w:sz w:val="20"/>
                <w:lang w:val="en-US"/>
              </w:rPr>
            </w:pPr>
            <w:r>
              <w:rPr>
                <w:rFonts w:hint="default"/>
                <w:sz w:val="20"/>
                <w:lang w:val="en-US"/>
              </w:rPr>
              <w:t>2,1</w:t>
            </w:r>
          </w:p>
        </w:tc>
        <w:tc>
          <w:tcPr>
            <w:tcW w:w="1173" w:type="dxa"/>
            <w:vAlign w:val="top"/>
          </w:tcPr>
          <w:p>
            <w:pPr>
              <w:jc w:val="center"/>
              <w:rPr>
                <w:rFonts w:hint="default"/>
                <w:sz w:val="20"/>
                <w:lang w:val="en-US"/>
              </w:rPr>
            </w:pPr>
            <w:r>
              <w:rPr>
                <w:rFonts w:hint="default"/>
                <w:sz w:val="20"/>
                <w:lang w:val="en-US"/>
              </w:rPr>
              <w:t>725</w:t>
            </w:r>
          </w:p>
        </w:tc>
        <w:tc>
          <w:tcPr>
            <w:tcW w:w="1222" w:type="dxa"/>
            <w:vAlign w:val="top"/>
          </w:tcPr>
          <w:p>
            <w:pPr>
              <w:jc w:val="center"/>
              <w:rPr>
                <w:rFonts w:hint="default"/>
                <w:sz w:val="20"/>
                <w:lang w:val="en-US"/>
              </w:rPr>
            </w:pPr>
            <w:r>
              <w:rPr>
                <w:rFonts w:hint="default"/>
                <w:sz w:val="20"/>
                <w:lang w:val="en-US"/>
              </w:rPr>
              <w:t>3,2</w:t>
            </w:r>
          </w:p>
        </w:tc>
        <w:tc>
          <w:tcPr>
            <w:tcW w:w="1175" w:type="dxa"/>
            <w:vAlign w:val="top"/>
          </w:tcPr>
          <w:p>
            <w:pPr>
              <w:jc w:val="center"/>
              <w:rPr>
                <w:rFonts w:hint="default"/>
                <w:sz w:val="20"/>
                <w:lang w:val="en-US"/>
              </w:rPr>
            </w:pPr>
            <w:r>
              <w:rPr>
                <w:rFonts w:hint="default"/>
                <w:sz w:val="20"/>
                <w:lang w:val="en-US"/>
              </w:rPr>
              <w:t>311</w:t>
            </w:r>
          </w:p>
        </w:tc>
        <w:tc>
          <w:tcPr>
            <w:tcW w:w="1255" w:type="dxa"/>
            <w:vAlign w:val="top"/>
          </w:tcPr>
          <w:p>
            <w:pPr>
              <w:jc w:val="center"/>
              <w:rPr>
                <w:rFonts w:hint="default"/>
                <w:sz w:val="20"/>
                <w:lang w:val="en-US"/>
              </w:rPr>
            </w:pPr>
            <w:r>
              <w:rPr>
                <w:rFonts w:hint="default"/>
                <w:sz w:val="20"/>
                <w:lang w:val="en-US"/>
              </w:rPr>
              <w:t>1,0</w:t>
            </w:r>
          </w:p>
        </w:tc>
      </w:tr>
    </w:tbl>
    <w:p>
      <w:pPr>
        <w:rPr>
          <w:rFonts w:hint="default"/>
          <w:b w:val="0"/>
          <w:bCs/>
          <w:sz w:val="24"/>
          <w:szCs w:val="24"/>
          <w:lang w:val="en-US"/>
        </w:rPr>
      </w:pPr>
      <w:r>
        <w:rPr>
          <w:rFonts w:hint="default"/>
          <w:sz w:val="20"/>
          <w:lang w:val="en-US"/>
        </w:rPr>
        <w:t xml:space="preserve"> </w:t>
      </w:r>
      <w:r>
        <w:rPr>
          <w:sz w:val="20"/>
        </w:rPr>
        <w:t xml:space="preserve">Sumber: </w:t>
      </w:r>
      <w:r>
        <w:rPr>
          <w:i/>
          <w:iCs/>
          <w:sz w:val="20"/>
        </w:rPr>
        <w:t xml:space="preserve">U.S. Department of State, </w:t>
      </w:r>
      <w:r>
        <w:rPr>
          <w:sz w:val="20"/>
        </w:rPr>
        <w:t>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pPr>
      <w:r>
        <w:rPr>
          <w:rFonts w:hint="default"/>
          <w:sz w:val="24"/>
          <w:szCs w:val="24"/>
          <w:lang w:val="en-US"/>
        </w:rPr>
        <w:t xml:space="preserve">Kedua, migran yang terkategori sebagai pencari suaka. Pencari suaka terbagi menjadi 2 jenis menurut jenis kasus suaka yaitu kasus suaka afirmatif dan kasus suaka defensif. </w:t>
      </w:r>
    </w:p>
    <w:tbl>
      <w:tblPr>
        <w:tblpPr w:leftFromText="180" w:rightFromText="180" w:vertAnchor="text" w:horzAnchor="page" w:tblpX="2001" w:tblpY="902"/>
        <w:tblOverlap w:val="never"/>
        <w:tblW w:w="8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148"/>
        <w:gridCol w:w="1149"/>
        <w:gridCol w:w="1148"/>
        <w:gridCol w:w="1149"/>
        <w:gridCol w:w="114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Merge w:val="restart"/>
            <w:vAlign w:val="top"/>
          </w:tcPr>
          <w:p>
            <w:pPr>
              <w:jc w:val="center"/>
              <w:rPr>
                <w:sz w:val="20"/>
              </w:rPr>
            </w:pPr>
          </w:p>
          <w:p>
            <w:pPr>
              <w:jc w:val="center"/>
              <w:rPr>
                <w:rFonts w:hint="default"/>
                <w:sz w:val="20"/>
                <w:lang w:val="en-US"/>
              </w:rPr>
            </w:pPr>
            <w:r>
              <w:rPr>
                <w:rFonts w:hint="default"/>
                <w:sz w:val="20"/>
                <w:lang w:val="en-US"/>
              </w:rPr>
              <w:t>Negara Kebangsaan</w:t>
            </w:r>
          </w:p>
        </w:tc>
        <w:tc>
          <w:tcPr>
            <w:tcW w:w="2297" w:type="dxa"/>
            <w:gridSpan w:val="2"/>
            <w:vAlign w:val="top"/>
          </w:tcPr>
          <w:p>
            <w:pPr>
              <w:jc w:val="center"/>
              <w:rPr>
                <w:sz w:val="20"/>
              </w:rPr>
            </w:pPr>
            <w:r>
              <w:rPr>
                <w:sz w:val="20"/>
              </w:rPr>
              <w:t>2017</w:t>
            </w:r>
          </w:p>
        </w:tc>
        <w:tc>
          <w:tcPr>
            <w:tcW w:w="2297" w:type="dxa"/>
            <w:gridSpan w:val="2"/>
            <w:vAlign w:val="top"/>
          </w:tcPr>
          <w:p>
            <w:pPr>
              <w:jc w:val="center"/>
              <w:rPr>
                <w:sz w:val="20"/>
              </w:rPr>
            </w:pPr>
            <w:r>
              <w:rPr>
                <w:sz w:val="20"/>
              </w:rPr>
              <w:t>2018</w:t>
            </w:r>
          </w:p>
        </w:tc>
        <w:tc>
          <w:tcPr>
            <w:tcW w:w="2204" w:type="dxa"/>
            <w:gridSpan w:val="2"/>
            <w:vAlign w:val="top"/>
          </w:tcPr>
          <w:p>
            <w:pPr>
              <w:jc w:val="center"/>
              <w:rPr>
                <w:sz w:val="20"/>
              </w:rPr>
            </w:pPr>
            <w:r>
              <w:rPr>
                <w:sz w:val="20"/>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401" w:type="dxa"/>
            <w:vMerge w:val="continue"/>
            <w:vAlign w:val="top"/>
          </w:tcPr>
          <w:p>
            <w:pPr>
              <w:jc w:val="center"/>
              <w:rPr>
                <w:sz w:val="20"/>
              </w:rPr>
            </w:pPr>
          </w:p>
        </w:tc>
        <w:tc>
          <w:tcPr>
            <w:tcW w:w="1148" w:type="dxa"/>
            <w:vAlign w:val="top"/>
          </w:tcPr>
          <w:p>
            <w:pPr>
              <w:jc w:val="center"/>
              <w:rPr>
                <w:rFonts w:hint="default"/>
                <w:sz w:val="20"/>
                <w:lang w:val="en-US"/>
              </w:rPr>
            </w:pPr>
            <w:r>
              <w:rPr>
                <w:rFonts w:hint="default"/>
                <w:sz w:val="20"/>
                <w:lang w:val="en-US"/>
              </w:rPr>
              <w:t>Angka</w:t>
            </w:r>
          </w:p>
        </w:tc>
        <w:tc>
          <w:tcPr>
            <w:tcW w:w="1149" w:type="dxa"/>
            <w:vAlign w:val="top"/>
          </w:tcPr>
          <w:p>
            <w:pPr>
              <w:jc w:val="center"/>
              <w:rPr>
                <w:sz w:val="20"/>
              </w:rPr>
            </w:pPr>
            <w:r>
              <w:rPr>
                <w:sz w:val="20"/>
              </w:rPr>
              <w:t>Per</w:t>
            </w:r>
            <w:r>
              <w:rPr>
                <w:rFonts w:hint="default"/>
                <w:sz w:val="20"/>
                <w:lang w:val="en-US"/>
              </w:rPr>
              <w:t>sen</w:t>
            </w:r>
          </w:p>
        </w:tc>
        <w:tc>
          <w:tcPr>
            <w:tcW w:w="1148" w:type="dxa"/>
            <w:vAlign w:val="top"/>
          </w:tcPr>
          <w:p>
            <w:pPr>
              <w:jc w:val="center"/>
              <w:rPr>
                <w:rFonts w:hint="default"/>
                <w:sz w:val="20"/>
                <w:lang w:val="en-US"/>
              </w:rPr>
            </w:pPr>
            <w:r>
              <w:rPr>
                <w:rFonts w:hint="default"/>
                <w:sz w:val="20"/>
                <w:lang w:val="en-US"/>
              </w:rPr>
              <w:t>Angka</w:t>
            </w:r>
          </w:p>
        </w:tc>
        <w:tc>
          <w:tcPr>
            <w:tcW w:w="1149" w:type="dxa"/>
            <w:vAlign w:val="top"/>
          </w:tcPr>
          <w:p>
            <w:pPr>
              <w:jc w:val="center"/>
              <w:rPr>
                <w:sz w:val="20"/>
              </w:rPr>
            </w:pPr>
            <w:r>
              <w:rPr>
                <w:sz w:val="20"/>
              </w:rPr>
              <w:t>Pe</w:t>
            </w:r>
            <w:r>
              <w:rPr>
                <w:rFonts w:hint="default"/>
                <w:sz w:val="20"/>
                <w:lang w:val="en-US"/>
              </w:rPr>
              <w:t>rsen</w:t>
            </w:r>
          </w:p>
        </w:tc>
        <w:tc>
          <w:tcPr>
            <w:tcW w:w="1148" w:type="dxa"/>
            <w:vAlign w:val="top"/>
          </w:tcPr>
          <w:p>
            <w:pPr>
              <w:jc w:val="center"/>
              <w:rPr>
                <w:rFonts w:hint="default"/>
                <w:sz w:val="20"/>
                <w:lang w:val="en-US"/>
              </w:rPr>
            </w:pPr>
            <w:r>
              <w:rPr>
                <w:rFonts w:hint="default"/>
                <w:sz w:val="20"/>
                <w:lang w:val="en-US"/>
              </w:rPr>
              <w:t>Angka</w:t>
            </w:r>
          </w:p>
        </w:tc>
        <w:tc>
          <w:tcPr>
            <w:tcW w:w="1056"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Total</w:t>
            </w:r>
          </w:p>
        </w:tc>
        <w:tc>
          <w:tcPr>
            <w:tcW w:w="1148" w:type="dxa"/>
            <w:vAlign w:val="top"/>
          </w:tcPr>
          <w:p>
            <w:pPr>
              <w:jc w:val="center"/>
              <w:rPr>
                <w:rFonts w:hint="default"/>
                <w:sz w:val="20"/>
                <w:lang w:val="en-US"/>
              </w:rPr>
            </w:pPr>
            <w:r>
              <w:rPr>
                <w:rFonts w:hint="default"/>
                <w:sz w:val="20"/>
                <w:lang w:val="en-US"/>
              </w:rPr>
              <w:t>75.517</w:t>
            </w:r>
          </w:p>
        </w:tc>
        <w:tc>
          <w:tcPr>
            <w:tcW w:w="1149" w:type="dxa"/>
            <w:vAlign w:val="top"/>
          </w:tcPr>
          <w:p>
            <w:pPr>
              <w:jc w:val="center"/>
              <w:rPr>
                <w:sz w:val="20"/>
              </w:rPr>
            </w:pPr>
            <w:r>
              <w:rPr>
                <w:sz w:val="20"/>
              </w:rPr>
              <w:t>100,0</w:t>
            </w:r>
          </w:p>
        </w:tc>
        <w:tc>
          <w:tcPr>
            <w:tcW w:w="1148" w:type="dxa"/>
            <w:vAlign w:val="top"/>
          </w:tcPr>
          <w:p>
            <w:pPr>
              <w:jc w:val="center"/>
              <w:rPr>
                <w:rFonts w:hint="default"/>
                <w:sz w:val="20"/>
                <w:lang w:val="en-US"/>
              </w:rPr>
            </w:pPr>
            <w:r>
              <w:rPr>
                <w:rFonts w:hint="default"/>
                <w:sz w:val="20"/>
                <w:lang w:val="en-US"/>
              </w:rPr>
              <w:t>62.082</w:t>
            </w:r>
          </w:p>
        </w:tc>
        <w:tc>
          <w:tcPr>
            <w:tcW w:w="1149" w:type="dxa"/>
            <w:vAlign w:val="top"/>
          </w:tcPr>
          <w:p>
            <w:pPr>
              <w:jc w:val="center"/>
              <w:rPr>
                <w:sz w:val="20"/>
              </w:rPr>
            </w:pPr>
            <w:r>
              <w:rPr>
                <w:sz w:val="20"/>
              </w:rPr>
              <w:t>100,0</w:t>
            </w:r>
          </w:p>
        </w:tc>
        <w:tc>
          <w:tcPr>
            <w:tcW w:w="1148" w:type="dxa"/>
            <w:vAlign w:val="top"/>
          </w:tcPr>
          <w:p>
            <w:pPr>
              <w:jc w:val="center"/>
              <w:rPr>
                <w:rFonts w:hint="default"/>
                <w:sz w:val="20"/>
                <w:lang w:val="en-US"/>
              </w:rPr>
            </w:pPr>
            <w:r>
              <w:rPr>
                <w:rFonts w:hint="default"/>
                <w:sz w:val="20"/>
                <w:lang w:val="en-US"/>
              </w:rPr>
              <w:t>56.094</w:t>
            </w:r>
          </w:p>
        </w:tc>
        <w:tc>
          <w:tcPr>
            <w:tcW w:w="1056"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Venezuela</w:t>
            </w:r>
          </w:p>
        </w:tc>
        <w:tc>
          <w:tcPr>
            <w:tcW w:w="1148" w:type="dxa"/>
            <w:vAlign w:val="top"/>
          </w:tcPr>
          <w:p>
            <w:pPr>
              <w:jc w:val="center"/>
              <w:rPr>
                <w:sz w:val="20"/>
              </w:rPr>
            </w:pPr>
            <w:r>
              <w:rPr>
                <w:sz w:val="20"/>
              </w:rPr>
              <w:t>27.576</w:t>
            </w:r>
          </w:p>
        </w:tc>
        <w:tc>
          <w:tcPr>
            <w:tcW w:w="1149" w:type="dxa"/>
            <w:vAlign w:val="top"/>
          </w:tcPr>
          <w:p>
            <w:pPr>
              <w:jc w:val="center"/>
              <w:rPr>
                <w:sz w:val="20"/>
              </w:rPr>
            </w:pPr>
            <w:r>
              <w:rPr>
                <w:sz w:val="20"/>
              </w:rPr>
              <w:t>19,7</w:t>
            </w:r>
          </w:p>
        </w:tc>
        <w:tc>
          <w:tcPr>
            <w:tcW w:w="1148" w:type="dxa"/>
            <w:vAlign w:val="top"/>
          </w:tcPr>
          <w:p>
            <w:pPr>
              <w:jc w:val="center"/>
              <w:rPr>
                <w:sz w:val="20"/>
              </w:rPr>
            </w:pPr>
            <w:r>
              <w:rPr>
                <w:sz w:val="20"/>
              </w:rPr>
              <w:t>28.426</w:t>
            </w:r>
          </w:p>
        </w:tc>
        <w:tc>
          <w:tcPr>
            <w:tcW w:w="1149" w:type="dxa"/>
            <w:vAlign w:val="top"/>
          </w:tcPr>
          <w:p>
            <w:pPr>
              <w:jc w:val="center"/>
              <w:rPr>
                <w:sz w:val="20"/>
              </w:rPr>
            </w:pPr>
            <w:r>
              <w:rPr>
                <w:sz w:val="20"/>
              </w:rPr>
              <w:t>26,8</w:t>
            </w:r>
          </w:p>
        </w:tc>
        <w:tc>
          <w:tcPr>
            <w:tcW w:w="1148" w:type="dxa"/>
            <w:vAlign w:val="top"/>
          </w:tcPr>
          <w:p>
            <w:pPr>
              <w:jc w:val="center"/>
              <w:rPr>
                <w:sz w:val="20"/>
              </w:rPr>
            </w:pPr>
            <w:r>
              <w:rPr>
                <w:sz w:val="20"/>
              </w:rPr>
              <w:t>25.210</w:t>
            </w:r>
          </w:p>
        </w:tc>
        <w:tc>
          <w:tcPr>
            <w:tcW w:w="1056" w:type="dxa"/>
            <w:vAlign w:val="top"/>
          </w:tcPr>
          <w:p>
            <w:pPr>
              <w:jc w:val="center"/>
              <w:rPr>
                <w:sz w:val="20"/>
              </w:rPr>
            </w:pPr>
            <w:r>
              <w:rPr>
                <w:sz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Guatemala</w:t>
            </w:r>
          </w:p>
        </w:tc>
        <w:tc>
          <w:tcPr>
            <w:tcW w:w="1148" w:type="dxa"/>
            <w:vAlign w:val="top"/>
          </w:tcPr>
          <w:p>
            <w:pPr>
              <w:jc w:val="center"/>
              <w:rPr>
                <w:sz w:val="20"/>
              </w:rPr>
            </w:pPr>
            <w:r>
              <w:rPr>
                <w:sz w:val="20"/>
              </w:rPr>
              <w:t>12.185</w:t>
            </w:r>
          </w:p>
        </w:tc>
        <w:tc>
          <w:tcPr>
            <w:tcW w:w="1149" w:type="dxa"/>
            <w:vAlign w:val="top"/>
          </w:tcPr>
          <w:p>
            <w:pPr>
              <w:jc w:val="center"/>
              <w:rPr>
                <w:sz w:val="20"/>
              </w:rPr>
            </w:pPr>
            <w:r>
              <w:rPr>
                <w:sz w:val="20"/>
              </w:rPr>
              <w:t>8,7</w:t>
            </w:r>
          </w:p>
        </w:tc>
        <w:tc>
          <w:tcPr>
            <w:tcW w:w="1148" w:type="dxa"/>
            <w:vAlign w:val="top"/>
          </w:tcPr>
          <w:p>
            <w:pPr>
              <w:jc w:val="center"/>
              <w:rPr>
                <w:sz w:val="20"/>
              </w:rPr>
            </w:pPr>
            <w:r>
              <w:rPr>
                <w:sz w:val="20"/>
              </w:rPr>
              <w:t>10.192</w:t>
            </w:r>
          </w:p>
        </w:tc>
        <w:tc>
          <w:tcPr>
            <w:tcW w:w="1149" w:type="dxa"/>
            <w:vAlign w:val="top"/>
          </w:tcPr>
          <w:p>
            <w:pPr>
              <w:jc w:val="center"/>
              <w:rPr>
                <w:sz w:val="20"/>
              </w:rPr>
            </w:pPr>
            <w:r>
              <w:rPr>
                <w:sz w:val="20"/>
              </w:rPr>
              <w:t>9,6</w:t>
            </w:r>
          </w:p>
        </w:tc>
        <w:tc>
          <w:tcPr>
            <w:tcW w:w="1148" w:type="dxa"/>
            <w:vAlign w:val="top"/>
          </w:tcPr>
          <w:p>
            <w:pPr>
              <w:jc w:val="center"/>
              <w:rPr>
                <w:sz w:val="20"/>
              </w:rPr>
            </w:pPr>
            <w:r>
              <w:rPr>
                <w:sz w:val="20"/>
              </w:rPr>
              <w:t>9.684</w:t>
            </w:r>
          </w:p>
        </w:tc>
        <w:tc>
          <w:tcPr>
            <w:tcW w:w="1056" w:type="dxa"/>
            <w:vAlign w:val="top"/>
          </w:tcPr>
          <w:p>
            <w:pPr>
              <w:jc w:val="center"/>
              <w:rPr>
                <w:sz w:val="20"/>
              </w:rPr>
            </w:pPr>
            <w:r>
              <w:rPr>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rFonts w:hint="default"/>
                <w:sz w:val="20"/>
                <w:lang w:val="en-US"/>
              </w:rPr>
            </w:pPr>
            <w:r>
              <w:rPr>
                <w:rFonts w:hint="default"/>
                <w:sz w:val="20"/>
                <w:lang w:val="en-US"/>
              </w:rPr>
              <w:t>RRC</w:t>
            </w:r>
          </w:p>
        </w:tc>
        <w:tc>
          <w:tcPr>
            <w:tcW w:w="1148" w:type="dxa"/>
            <w:vAlign w:val="top"/>
          </w:tcPr>
          <w:p>
            <w:pPr>
              <w:jc w:val="center"/>
              <w:rPr>
                <w:sz w:val="20"/>
              </w:rPr>
            </w:pPr>
            <w:r>
              <w:rPr>
                <w:sz w:val="20"/>
              </w:rPr>
              <w:t>16.810</w:t>
            </w:r>
          </w:p>
        </w:tc>
        <w:tc>
          <w:tcPr>
            <w:tcW w:w="1149" w:type="dxa"/>
            <w:vAlign w:val="top"/>
          </w:tcPr>
          <w:p>
            <w:pPr>
              <w:jc w:val="center"/>
              <w:rPr>
                <w:sz w:val="20"/>
              </w:rPr>
            </w:pPr>
            <w:r>
              <w:rPr>
                <w:sz w:val="20"/>
              </w:rPr>
              <w:t>12,0</w:t>
            </w:r>
          </w:p>
        </w:tc>
        <w:tc>
          <w:tcPr>
            <w:tcW w:w="1148" w:type="dxa"/>
            <w:vAlign w:val="top"/>
          </w:tcPr>
          <w:p>
            <w:pPr>
              <w:jc w:val="center"/>
              <w:rPr>
                <w:sz w:val="20"/>
              </w:rPr>
            </w:pPr>
            <w:r>
              <w:rPr>
                <w:sz w:val="20"/>
              </w:rPr>
              <w:t>8.181</w:t>
            </w:r>
          </w:p>
        </w:tc>
        <w:tc>
          <w:tcPr>
            <w:tcW w:w="1149" w:type="dxa"/>
            <w:vAlign w:val="top"/>
          </w:tcPr>
          <w:p>
            <w:pPr>
              <w:jc w:val="center"/>
              <w:rPr>
                <w:sz w:val="20"/>
              </w:rPr>
            </w:pPr>
            <w:r>
              <w:rPr>
                <w:sz w:val="20"/>
              </w:rPr>
              <w:t>7,7</w:t>
            </w:r>
          </w:p>
        </w:tc>
        <w:tc>
          <w:tcPr>
            <w:tcW w:w="1148" w:type="dxa"/>
            <w:vAlign w:val="top"/>
          </w:tcPr>
          <w:p>
            <w:pPr>
              <w:jc w:val="center"/>
              <w:rPr>
                <w:sz w:val="20"/>
              </w:rPr>
            </w:pPr>
            <w:r>
              <w:rPr>
                <w:sz w:val="20"/>
              </w:rPr>
              <w:t>9.640</w:t>
            </w:r>
          </w:p>
        </w:tc>
        <w:tc>
          <w:tcPr>
            <w:tcW w:w="1056" w:type="dxa"/>
            <w:vAlign w:val="top"/>
          </w:tcPr>
          <w:p>
            <w:pPr>
              <w:jc w:val="center"/>
              <w:rPr>
                <w:sz w:val="20"/>
              </w:rPr>
            </w:pPr>
            <w:r>
              <w:rPr>
                <w:sz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El Salvador</w:t>
            </w:r>
          </w:p>
        </w:tc>
        <w:tc>
          <w:tcPr>
            <w:tcW w:w="1148" w:type="dxa"/>
            <w:vAlign w:val="top"/>
          </w:tcPr>
          <w:p>
            <w:pPr>
              <w:jc w:val="center"/>
              <w:rPr>
                <w:sz w:val="20"/>
              </w:rPr>
            </w:pPr>
            <w:r>
              <w:rPr>
                <w:sz w:val="20"/>
              </w:rPr>
              <w:t>11.941</w:t>
            </w:r>
          </w:p>
        </w:tc>
        <w:tc>
          <w:tcPr>
            <w:tcW w:w="1149" w:type="dxa"/>
            <w:vAlign w:val="top"/>
          </w:tcPr>
          <w:p>
            <w:pPr>
              <w:jc w:val="center"/>
              <w:rPr>
                <w:sz w:val="20"/>
              </w:rPr>
            </w:pPr>
            <w:r>
              <w:rPr>
                <w:sz w:val="20"/>
              </w:rPr>
              <w:t>8,5</w:t>
            </w:r>
          </w:p>
        </w:tc>
        <w:tc>
          <w:tcPr>
            <w:tcW w:w="1148" w:type="dxa"/>
            <w:vAlign w:val="top"/>
          </w:tcPr>
          <w:p>
            <w:pPr>
              <w:jc w:val="center"/>
              <w:rPr>
                <w:sz w:val="20"/>
              </w:rPr>
            </w:pPr>
            <w:r>
              <w:rPr>
                <w:sz w:val="20"/>
              </w:rPr>
              <w:t>9.140</w:t>
            </w:r>
          </w:p>
        </w:tc>
        <w:tc>
          <w:tcPr>
            <w:tcW w:w="1149" w:type="dxa"/>
            <w:vAlign w:val="top"/>
          </w:tcPr>
          <w:p>
            <w:pPr>
              <w:jc w:val="center"/>
              <w:rPr>
                <w:sz w:val="20"/>
              </w:rPr>
            </w:pPr>
            <w:r>
              <w:rPr>
                <w:sz w:val="20"/>
              </w:rPr>
              <w:t>8,6</w:t>
            </w:r>
          </w:p>
        </w:tc>
        <w:tc>
          <w:tcPr>
            <w:tcW w:w="1148" w:type="dxa"/>
            <w:vAlign w:val="top"/>
          </w:tcPr>
          <w:p>
            <w:pPr>
              <w:jc w:val="center"/>
              <w:rPr>
                <w:sz w:val="20"/>
              </w:rPr>
            </w:pPr>
            <w:r>
              <w:rPr>
                <w:sz w:val="20"/>
              </w:rPr>
              <w:t>5.951</w:t>
            </w:r>
          </w:p>
        </w:tc>
        <w:tc>
          <w:tcPr>
            <w:tcW w:w="1056" w:type="dxa"/>
            <w:vAlign w:val="top"/>
          </w:tcPr>
          <w:p>
            <w:pPr>
              <w:jc w:val="center"/>
              <w:rPr>
                <w:sz w:val="20"/>
              </w:rPr>
            </w:pPr>
            <w:r>
              <w:rPr>
                <w:sz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Honduras</w:t>
            </w:r>
          </w:p>
        </w:tc>
        <w:tc>
          <w:tcPr>
            <w:tcW w:w="1148" w:type="dxa"/>
            <w:vAlign w:val="top"/>
          </w:tcPr>
          <w:p>
            <w:pPr>
              <w:jc w:val="center"/>
              <w:rPr>
                <w:sz w:val="20"/>
              </w:rPr>
            </w:pPr>
            <w:r>
              <w:rPr>
                <w:sz w:val="20"/>
              </w:rPr>
              <w:t>7.005</w:t>
            </w:r>
          </w:p>
        </w:tc>
        <w:tc>
          <w:tcPr>
            <w:tcW w:w="1149" w:type="dxa"/>
            <w:vAlign w:val="top"/>
          </w:tcPr>
          <w:p>
            <w:pPr>
              <w:jc w:val="center"/>
              <w:rPr>
                <w:sz w:val="20"/>
              </w:rPr>
            </w:pPr>
            <w:r>
              <w:rPr>
                <w:sz w:val="20"/>
              </w:rPr>
              <w:t>5,0</w:t>
            </w:r>
          </w:p>
        </w:tc>
        <w:tc>
          <w:tcPr>
            <w:tcW w:w="1148" w:type="dxa"/>
            <w:vAlign w:val="top"/>
          </w:tcPr>
          <w:p>
            <w:pPr>
              <w:jc w:val="center"/>
              <w:rPr>
                <w:sz w:val="20"/>
              </w:rPr>
            </w:pPr>
            <w:r>
              <w:rPr>
                <w:sz w:val="20"/>
              </w:rPr>
              <w:t>6.143</w:t>
            </w:r>
          </w:p>
        </w:tc>
        <w:tc>
          <w:tcPr>
            <w:tcW w:w="1149" w:type="dxa"/>
            <w:vAlign w:val="top"/>
          </w:tcPr>
          <w:p>
            <w:pPr>
              <w:jc w:val="center"/>
              <w:rPr>
                <w:sz w:val="20"/>
              </w:rPr>
            </w:pPr>
            <w:r>
              <w:rPr>
                <w:sz w:val="20"/>
              </w:rPr>
              <w:t>5,8</w:t>
            </w:r>
          </w:p>
        </w:tc>
        <w:tc>
          <w:tcPr>
            <w:tcW w:w="1148" w:type="dxa"/>
            <w:vAlign w:val="top"/>
          </w:tcPr>
          <w:p>
            <w:pPr>
              <w:jc w:val="center"/>
              <w:rPr>
                <w:sz w:val="20"/>
              </w:rPr>
            </w:pPr>
            <w:r>
              <w:rPr>
                <w:sz w:val="20"/>
              </w:rPr>
              <w:t>5.609</w:t>
            </w:r>
          </w:p>
        </w:tc>
        <w:tc>
          <w:tcPr>
            <w:tcW w:w="1056" w:type="dxa"/>
            <w:vAlign w:val="top"/>
          </w:tcPr>
          <w:p>
            <w:pPr>
              <w:jc w:val="center"/>
              <w:rPr>
                <w:sz w:val="20"/>
              </w:rPr>
            </w:pPr>
            <w:r>
              <w:rPr>
                <w:sz w:val="20"/>
              </w:rPr>
              <w:t>5,8</w:t>
            </w:r>
          </w:p>
        </w:tc>
      </w:tr>
    </w:tbl>
    <w:p>
      <w:pPr>
        <w:ind w:firstLine="420"/>
        <w:jc w:val="center"/>
        <w:rPr>
          <w:sz w:val="24"/>
          <w:szCs w:val="24"/>
        </w:rPr>
      </w:pPr>
      <w:r>
        <w:rPr>
          <w:rFonts w:eastAsia="Times New Roman"/>
          <w:b/>
          <w:bCs/>
          <w:sz w:val="24"/>
          <w:szCs w:val="24"/>
        </w:rPr>
        <w:t>Tabel</w:t>
      </w:r>
      <w:r>
        <w:rPr>
          <w:rFonts w:hint="default" w:eastAsia="Times New Roman"/>
          <w:b/>
          <w:bCs/>
          <w:sz w:val="24"/>
          <w:szCs w:val="24"/>
          <w:lang w:val="en-US"/>
        </w:rPr>
        <w:t xml:space="preserve"> 5</w:t>
      </w:r>
      <w:r>
        <w:rPr>
          <w:rFonts w:eastAsia="Times New Roman"/>
          <w:b/>
          <w:bCs/>
          <w:sz w:val="24"/>
          <w:szCs w:val="24"/>
        </w:rPr>
        <w:t xml:space="preserve"> Kasus Suaka Afirmatif yang Diterima oleh USCIS</w:t>
      </w:r>
      <w:r>
        <w:rPr>
          <w:rFonts w:eastAsia="Times New Roman"/>
          <w:sz w:val="24"/>
          <w:szCs w:val="24"/>
        </w:rPr>
        <w:t xml:space="preserve"> </w:t>
      </w:r>
      <w:r>
        <w:rPr>
          <w:rFonts w:eastAsia="Times New Roman"/>
          <w:b/>
          <w:bCs/>
          <w:sz w:val="24"/>
          <w:szCs w:val="24"/>
        </w:rPr>
        <w:t>Berdasarkan Negara Asal Tahun 201</w:t>
      </w:r>
      <w:r>
        <w:rPr>
          <w:rFonts w:hint="default" w:eastAsia="Times New Roman"/>
          <w:b/>
          <w:bCs/>
          <w:sz w:val="24"/>
          <w:szCs w:val="24"/>
          <w:lang w:val="en-US"/>
        </w:rPr>
        <w:t>7</w:t>
      </w:r>
      <w:r>
        <w:rPr>
          <w:rFonts w:eastAsia="Times New Roman"/>
          <w:b/>
          <w:bCs/>
          <w:sz w:val="24"/>
          <w:szCs w:val="24"/>
        </w:rPr>
        <w:t>-201</w:t>
      </w:r>
      <w:r>
        <w:rPr>
          <w:rFonts w:hint="default" w:eastAsia="Times New Roman"/>
          <w:b/>
          <w:bCs/>
          <w:sz w:val="24"/>
          <w:szCs w:val="24"/>
          <w:lang w:val="en-US"/>
        </w:rPr>
        <w:t>9</w:t>
      </w:r>
      <w:r>
        <w:rPr>
          <w:sz w:val="24"/>
          <w:szCs w:val="24"/>
        </w:rPr>
        <w:t xml:space="preserve"> </w:t>
      </w:r>
    </w:p>
    <w:p>
      <w:pPr>
        <w:ind w:left="220" w:leftChars="100" w:right="191" w:firstLine="0" w:firstLineChars="0"/>
        <w:jc w:val="both"/>
        <w:rPr>
          <w:rFonts w:hint="default"/>
          <w:sz w:val="24"/>
          <w:szCs w:val="24"/>
          <w:lang w:val="en-US"/>
        </w:rPr>
      </w:pPr>
      <w:r>
        <w:rPr>
          <w:sz w:val="20"/>
        </w:rPr>
        <w:t xml:space="preserve">Sumber: </w:t>
      </w:r>
      <w:r>
        <w:rPr>
          <w:i/>
          <w:iCs/>
          <w:sz w:val="20"/>
        </w:rPr>
        <w:t>U.S. Department of Homeland Security,</w:t>
      </w:r>
      <w:r>
        <w:rPr>
          <w:sz w:val="20"/>
        </w:rPr>
        <w:t xml:space="preserve"> 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pPr>
      <w:r>
        <w:rPr>
          <w:rFonts w:hint="default"/>
          <w:sz w:val="24"/>
          <w:szCs w:val="24"/>
          <w:lang w:val="en-US"/>
        </w:rPr>
        <w:t>Sedangkan, kasus suaka defensif yang diterima oleh EOIR berdasarkan negara asal mulai tahun 2017 hingga 2019 dapat dilihat pada tabel 3.3 berikut:</w:t>
      </w:r>
    </w:p>
    <w:p>
      <w:pPr>
        <w:ind w:firstLine="420"/>
        <w:jc w:val="center"/>
        <w:rPr>
          <w:rFonts w:eastAsia="Times New Roman"/>
          <w:b/>
          <w:bCs/>
          <w:sz w:val="24"/>
          <w:szCs w:val="24"/>
        </w:rPr>
        <w:sectPr>
          <w:footerReference r:id="rId15" w:type="default"/>
          <w:footerReference r:id="rId16" w:type="even"/>
          <w:pgSz w:w="12240" w:h="15840"/>
          <w:pgMar w:top="1701" w:right="1701" w:bottom="1701" w:left="1701" w:header="709" w:footer="709" w:gutter="0"/>
          <w:pgNumType w:fmt="decimal" w:start="158"/>
          <w:cols w:space="720" w:num="1"/>
          <w:docGrid w:linePitch="360" w:charSpace="0"/>
        </w:sectPr>
      </w:pPr>
    </w:p>
    <w:p>
      <w:pPr>
        <w:ind w:firstLine="420"/>
        <w:jc w:val="center"/>
        <w:rPr>
          <w:rFonts w:eastAsia="Times New Roman"/>
          <w:b/>
          <w:bCs/>
          <w:szCs w:val="24"/>
        </w:rPr>
      </w:pPr>
      <w:r>
        <w:rPr>
          <w:rFonts w:eastAsia="Times New Roman"/>
          <w:b/>
          <w:bCs/>
          <w:sz w:val="24"/>
          <w:szCs w:val="24"/>
        </w:rPr>
        <w:t xml:space="preserve">Tabel </w:t>
      </w:r>
      <w:r>
        <w:rPr>
          <w:rFonts w:hint="default" w:eastAsia="Times New Roman"/>
          <w:b/>
          <w:bCs/>
          <w:sz w:val="24"/>
          <w:szCs w:val="24"/>
          <w:lang w:val="en-US"/>
        </w:rPr>
        <w:t xml:space="preserve">6 </w:t>
      </w:r>
      <w:r>
        <w:rPr>
          <w:rFonts w:eastAsia="Times New Roman"/>
          <w:b/>
          <w:bCs/>
          <w:sz w:val="24"/>
          <w:szCs w:val="24"/>
        </w:rPr>
        <w:t xml:space="preserve"> Kasus Suaka Defensif yang Diterima oleh EOIR Berdasarkan Negara Asal Tahun 201</w:t>
      </w:r>
      <w:r>
        <w:rPr>
          <w:rFonts w:hint="default" w:eastAsia="Times New Roman"/>
          <w:b/>
          <w:bCs/>
          <w:sz w:val="24"/>
          <w:szCs w:val="24"/>
          <w:lang w:val="en-US"/>
        </w:rPr>
        <w:t>7</w:t>
      </w:r>
      <w:r>
        <w:rPr>
          <w:rFonts w:eastAsia="Times New Roman"/>
          <w:b/>
          <w:bCs/>
          <w:sz w:val="24"/>
          <w:szCs w:val="24"/>
        </w:rPr>
        <w:t>-201</w:t>
      </w:r>
      <w:r>
        <w:rPr>
          <w:rFonts w:hint="default" w:eastAsia="Times New Roman"/>
          <w:b/>
          <w:bCs/>
          <w:sz w:val="24"/>
          <w:szCs w:val="24"/>
          <w:lang w:val="en-US"/>
        </w:rPr>
        <w:t>9</w:t>
      </w:r>
    </w:p>
    <w:tbl>
      <w:tblPr>
        <w:tblpPr w:leftFromText="180" w:rightFromText="180" w:vertAnchor="text" w:horzAnchor="page" w:tblpX="2001" w:tblpY="153"/>
        <w:tblOverlap w:val="never"/>
        <w:tblW w:w="8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148"/>
        <w:gridCol w:w="1149"/>
        <w:gridCol w:w="1148"/>
        <w:gridCol w:w="1149"/>
        <w:gridCol w:w="114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Merge w:val="restart"/>
            <w:vAlign w:val="top"/>
          </w:tcPr>
          <w:p>
            <w:pPr>
              <w:jc w:val="center"/>
              <w:rPr>
                <w:sz w:val="20"/>
              </w:rPr>
            </w:pPr>
          </w:p>
          <w:p>
            <w:pPr>
              <w:jc w:val="center"/>
              <w:rPr>
                <w:rFonts w:hint="default"/>
                <w:sz w:val="20"/>
                <w:lang w:val="en-US"/>
              </w:rPr>
            </w:pPr>
            <w:r>
              <w:rPr>
                <w:rFonts w:hint="default"/>
                <w:sz w:val="20"/>
                <w:lang w:val="en-US"/>
              </w:rPr>
              <w:t>Negara Kebangsaan</w:t>
            </w:r>
          </w:p>
        </w:tc>
        <w:tc>
          <w:tcPr>
            <w:tcW w:w="2297" w:type="dxa"/>
            <w:gridSpan w:val="2"/>
            <w:vAlign w:val="top"/>
          </w:tcPr>
          <w:p>
            <w:pPr>
              <w:jc w:val="center"/>
              <w:rPr>
                <w:sz w:val="20"/>
              </w:rPr>
            </w:pPr>
            <w:r>
              <w:rPr>
                <w:sz w:val="20"/>
              </w:rPr>
              <w:t>2017</w:t>
            </w:r>
          </w:p>
        </w:tc>
        <w:tc>
          <w:tcPr>
            <w:tcW w:w="2297" w:type="dxa"/>
            <w:gridSpan w:val="2"/>
            <w:vAlign w:val="top"/>
          </w:tcPr>
          <w:p>
            <w:pPr>
              <w:jc w:val="center"/>
              <w:rPr>
                <w:sz w:val="20"/>
              </w:rPr>
            </w:pPr>
            <w:r>
              <w:rPr>
                <w:sz w:val="20"/>
              </w:rPr>
              <w:t>2018</w:t>
            </w:r>
          </w:p>
        </w:tc>
        <w:tc>
          <w:tcPr>
            <w:tcW w:w="2204" w:type="dxa"/>
            <w:gridSpan w:val="2"/>
            <w:vAlign w:val="top"/>
          </w:tcPr>
          <w:p>
            <w:pPr>
              <w:jc w:val="center"/>
              <w:rPr>
                <w:sz w:val="20"/>
              </w:rPr>
            </w:pPr>
            <w:r>
              <w:rPr>
                <w:sz w:val="20"/>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401" w:type="dxa"/>
            <w:vMerge w:val="continue"/>
            <w:vAlign w:val="top"/>
          </w:tcPr>
          <w:p>
            <w:pPr>
              <w:jc w:val="center"/>
              <w:rPr>
                <w:sz w:val="20"/>
              </w:rPr>
            </w:pPr>
          </w:p>
        </w:tc>
        <w:tc>
          <w:tcPr>
            <w:tcW w:w="1148" w:type="dxa"/>
            <w:vAlign w:val="top"/>
          </w:tcPr>
          <w:p>
            <w:pPr>
              <w:jc w:val="center"/>
              <w:rPr>
                <w:rFonts w:hint="default"/>
                <w:sz w:val="20"/>
                <w:lang w:val="en-US"/>
              </w:rPr>
            </w:pPr>
            <w:r>
              <w:rPr>
                <w:rFonts w:hint="default"/>
                <w:sz w:val="20"/>
                <w:lang w:val="en-US"/>
              </w:rPr>
              <w:t>Angka</w:t>
            </w:r>
          </w:p>
        </w:tc>
        <w:tc>
          <w:tcPr>
            <w:tcW w:w="1149" w:type="dxa"/>
            <w:vAlign w:val="top"/>
          </w:tcPr>
          <w:p>
            <w:pPr>
              <w:jc w:val="center"/>
              <w:rPr>
                <w:sz w:val="20"/>
              </w:rPr>
            </w:pPr>
            <w:r>
              <w:rPr>
                <w:sz w:val="20"/>
              </w:rPr>
              <w:t>Per</w:t>
            </w:r>
            <w:r>
              <w:rPr>
                <w:rFonts w:hint="default"/>
                <w:sz w:val="20"/>
                <w:lang w:val="en-US"/>
              </w:rPr>
              <w:t>sen</w:t>
            </w:r>
          </w:p>
        </w:tc>
        <w:tc>
          <w:tcPr>
            <w:tcW w:w="1148" w:type="dxa"/>
            <w:vAlign w:val="top"/>
          </w:tcPr>
          <w:p>
            <w:pPr>
              <w:jc w:val="center"/>
              <w:rPr>
                <w:rFonts w:hint="default"/>
                <w:sz w:val="20"/>
                <w:lang w:val="en-US"/>
              </w:rPr>
            </w:pPr>
            <w:r>
              <w:rPr>
                <w:rFonts w:hint="default"/>
                <w:sz w:val="20"/>
                <w:lang w:val="en-US"/>
              </w:rPr>
              <w:t>Angka</w:t>
            </w:r>
          </w:p>
        </w:tc>
        <w:tc>
          <w:tcPr>
            <w:tcW w:w="1149" w:type="dxa"/>
            <w:vAlign w:val="top"/>
          </w:tcPr>
          <w:p>
            <w:pPr>
              <w:jc w:val="center"/>
              <w:rPr>
                <w:sz w:val="20"/>
              </w:rPr>
            </w:pPr>
            <w:r>
              <w:rPr>
                <w:sz w:val="20"/>
              </w:rPr>
              <w:t>Per</w:t>
            </w:r>
            <w:r>
              <w:rPr>
                <w:rFonts w:hint="default"/>
                <w:sz w:val="20"/>
                <w:lang w:val="en-US"/>
              </w:rPr>
              <w:t>sen</w:t>
            </w:r>
          </w:p>
        </w:tc>
        <w:tc>
          <w:tcPr>
            <w:tcW w:w="1148" w:type="dxa"/>
            <w:vAlign w:val="top"/>
          </w:tcPr>
          <w:p>
            <w:pPr>
              <w:jc w:val="center"/>
              <w:rPr>
                <w:rFonts w:hint="default"/>
                <w:sz w:val="20"/>
                <w:lang w:val="en-US"/>
              </w:rPr>
            </w:pPr>
            <w:r>
              <w:rPr>
                <w:rFonts w:hint="default"/>
                <w:sz w:val="20"/>
                <w:lang w:val="en-US"/>
              </w:rPr>
              <w:t>Angka</w:t>
            </w:r>
          </w:p>
        </w:tc>
        <w:tc>
          <w:tcPr>
            <w:tcW w:w="1056" w:type="dxa"/>
            <w:vAlign w:val="top"/>
          </w:tcPr>
          <w:p>
            <w:pPr>
              <w:jc w:val="center"/>
              <w:rPr>
                <w:sz w:val="20"/>
              </w:rPr>
            </w:pPr>
            <w:r>
              <w:rPr>
                <w:sz w:val="20"/>
              </w:rPr>
              <w:t>Per</w:t>
            </w:r>
            <w:r>
              <w:rPr>
                <w:rFonts w:hint="default"/>
                <w:sz w:val="20"/>
                <w:lang w:val="en-US"/>
              </w:rPr>
              <w:t>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01" w:type="dxa"/>
            <w:vAlign w:val="top"/>
          </w:tcPr>
          <w:p>
            <w:pPr>
              <w:jc w:val="center"/>
              <w:rPr>
                <w:sz w:val="20"/>
              </w:rPr>
            </w:pPr>
            <w:r>
              <w:rPr>
                <w:sz w:val="20"/>
              </w:rPr>
              <w:t>Total</w:t>
            </w:r>
          </w:p>
        </w:tc>
        <w:tc>
          <w:tcPr>
            <w:tcW w:w="1148" w:type="dxa"/>
            <w:vAlign w:val="top"/>
          </w:tcPr>
          <w:p>
            <w:pPr>
              <w:jc w:val="center"/>
              <w:rPr>
                <w:rFonts w:hint="default"/>
                <w:sz w:val="20"/>
                <w:lang w:val="en-US"/>
              </w:rPr>
            </w:pPr>
            <w:r>
              <w:rPr>
                <w:rFonts w:hint="default"/>
                <w:sz w:val="20"/>
                <w:lang w:val="en-US"/>
              </w:rPr>
              <w:t>105.706</w:t>
            </w:r>
          </w:p>
        </w:tc>
        <w:tc>
          <w:tcPr>
            <w:tcW w:w="1149" w:type="dxa"/>
            <w:vAlign w:val="top"/>
          </w:tcPr>
          <w:p>
            <w:pPr>
              <w:jc w:val="center"/>
              <w:rPr>
                <w:sz w:val="20"/>
              </w:rPr>
            </w:pPr>
            <w:r>
              <w:rPr>
                <w:sz w:val="20"/>
              </w:rPr>
              <w:t>100,0</w:t>
            </w:r>
          </w:p>
        </w:tc>
        <w:tc>
          <w:tcPr>
            <w:tcW w:w="1148" w:type="dxa"/>
            <w:vAlign w:val="top"/>
          </w:tcPr>
          <w:p>
            <w:pPr>
              <w:jc w:val="center"/>
              <w:rPr>
                <w:rFonts w:hint="default"/>
                <w:sz w:val="20"/>
                <w:lang w:val="en-US"/>
              </w:rPr>
            </w:pPr>
            <w:r>
              <w:rPr>
                <w:rFonts w:hint="default"/>
                <w:sz w:val="20"/>
                <w:lang w:val="en-US"/>
              </w:rPr>
              <w:t>105.964</w:t>
            </w:r>
          </w:p>
        </w:tc>
        <w:tc>
          <w:tcPr>
            <w:tcW w:w="1149" w:type="dxa"/>
            <w:vAlign w:val="top"/>
          </w:tcPr>
          <w:p>
            <w:pPr>
              <w:jc w:val="center"/>
              <w:rPr>
                <w:sz w:val="20"/>
              </w:rPr>
            </w:pPr>
            <w:r>
              <w:rPr>
                <w:sz w:val="20"/>
              </w:rPr>
              <w:t>100,0</w:t>
            </w:r>
          </w:p>
        </w:tc>
        <w:tc>
          <w:tcPr>
            <w:tcW w:w="1148" w:type="dxa"/>
            <w:vAlign w:val="top"/>
          </w:tcPr>
          <w:p>
            <w:pPr>
              <w:jc w:val="center"/>
              <w:rPr>
                <w:rFonts w:hint="default"/>
                <w:sz w:val="20"/>
                <w:lang w:val="en-US"/>
              </w:rPr>
            </w:pPr>
            <w:r>
              <w:rPr>
                <w:rFonts w:hint="default"/>
                <w:sz w:val="20"/>
                <w:lang w:val="en-US"/>
              </w:rPr>
              <w:t>133.150</w:t>
            </w:r>
          </w:p>
        </w:tc>
        <w:tc>
          <w:tcPr>
            <w:tcW w:w="1056" w:type="dxa"/>
            <w:vAlign w:val="top"/>
          </w:tcPr>
          <w:p>
            <w:pPr>
              <w:jc w:val="center"/>
              <w:rPr>
                <w:sz w:val="20"/>
              </w:rP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Guatemala</w:t>
            </w:r>
          </w:p>
        </w:tc>
        <w:tc>
          <w:tcPr>
            <w:tcW w:w="1148" w:type="dxa"/>
            <w:vAlign w:val="top"/>
          </w:tcPr>
          <w:p>
            <w:pPr>
              <w:jc w:val="center"/>
              <w:rPr>
                <w:sz w:val="20"/>
              </w:rPr>
            </w:pPr>
            <w:r>
              <w:rPr>
                <w:sz w:val="20"/>
              </w:rPr>
              <w:t>23.935</w:t>
            </w:r>
          </w:p>
        </w:tc>
        <w:tc>
          <w:tcPr>
            <w:tcW w:w="1149" w:type="dxa"/>
            <w:vAlign w:val="top"/>
          </w:tcPr>
          <w:p>
            <w:pPr>
              <w:jc w:val="center"/>
              <w:rPr>
                <w:sz w:val="20"/>
              </w:rPr>
            </w:pPr>
            <w:r>
              <w:rPr>
                <w:sz w:val="20"/>
              </w:rPr>
              <w:t>16,5</w:t>
            </w:r>
          </w:p>
        </w:tc>
        <w:tc>
          <w:tcPr>
            <w:tcW w:w="1148" w:type="dxa"/>
            <w:vAlign w:val="top"/>
          </w:tcPr>
          <w:p>
            <w:pPr>
              <w:jc w:val="center"/>
              <w:rPr>
                <w:sz w:val="20"/>
              </w:rPr>
            </w:pPr>
            <w:r>
              <w:rPr>
                <w:sz w:val="20"/>
              </w:rPr>
              <w:t>26.965</w:t>
            </w:r>
          </w:p>
        </w:tc>
        <w:tc>
          <w:tcPr>
            <w:tcW w:w="1149" w:type="dxa"/>
            <w:vAlign w:val="top"/>
          </w:tcPr>
          <w:p>
            <w:pPr>
              <w:jc w:val="center"/>
              <w:rPr>
                <w:sz w:val="20"/>
              </w:rPr>
            </w:pPr>
            <w:r>
              <w:rPr>
                <w:sz w:val="20"/>
              </w:rPr>
              <w:t>16,5</w:t>
            </w:r>
          </w:p>
        </w:tc>
        <w:tc>
          <w:tcPr>
            <w:tcW w:w="1148" w:type="dxa"/>
            <w:vAlign w:val="top"/>
          </w:tcPr>
          <w:p>
            <w:pPr>
              <w:jc w:val="center"/>
              <w:rPr>
                <w:sz w:val="20"/>
              </w:rPr>
            </w:pPr>
            <w:r>
              <w:rPr>
                <w:sz w:val="20"/>
              </w:rPr>
              <w:t>41.365</w:t>
            </w:r>
          </w:p>
        </w:tc>
        <w:tc>
          <w:tcPr>
            <w:tcW w:w="1056" w:type="dxa"/>
            <w:vAlign w:val="top"/>
          </w:tcPr>
          <w:p>
            <w:pPr>
              <w:jc w:val="center"/>
              <w:rPr>
                <w:sz w:val="20"/>
              </w:rPr>
            </w:pPr>
            <w:r>
              <w:rPr>
                <w:sz w:val="20"/>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Honduras</w:t>
            </w:r>
          </w:p>
        </w:tc>
        <w:tc>
          <w:tcPr>
            <w:tcW w:w="1148" w:type="dxa"/>
            <w:vAlign w:val="top"/>
          </w:tcPr>
          <w:p>
            <w:pPr>
              <w:jc w:val="center"/>
              <w:rPr>
                <w:sz w:val="20"/>
              </w:rPr>
            </w:pPr>
            <w:r>
              <w:rPr>
                <w:sz w:val="20"/>
              </w:rPr>
              <w:t>21.269</w:t>
            </w:r>
          </w:p>
        </w:tc>
        <w:tc>
          <w:tcPr>
            <w:tcW w:w="1149" w:type="dxa"/>
            <w:vAlign w:val="top"/>
          </w:tcPr>
          <w:p>
            <w:pPr>
              <w:jc w:val="center"/>
              <w:rPr>
                <w:sz w:val="20"/>
              </w:rPr>
            </w:pPr>
            <w:r>
              <w:rPr>
                <w:sz w:val="20"/>
              </w:rPr>
              <w:t>14,7</w:t>
            </w:r>
          </w:p>
        </w:tc>
        <w:tc>
          <w:tcPr>
            <w:tcW w:w="1148" w:type="dxa"/>
            <w:vAlign w:val="top"/>
          </w:tcPr>
          <w:p>
            <w:pPr>
              <w:jc w:val="center"/>
              <w:rPr>
                <w:sz w:val="20"/>
              </w:rPr>
            </w:pPr>
            <w:r>
              <w:rPr>
                <w:sz w:val="20"/>
              </w:rPr>
              <w:t>22.014</w:t>
            </w:r>
          </w:p>
        </w:tc>
        <w:tc>
          <w:tcPr>
            <w:tcW w:w="1149" w:type="dxa"/>
            <w:vAlign w:val="top"/>
          </w:tcPr>
          <w:p>
            <w:pPr>
              <w:jc w:val="center"/>
              <w:rPr>
                <w:sz w:val="20"/>
              </w:rPr>
            </w:pPr>
            <w:r>
              <w:rPr>
                <w:sz w:val="20"/>
              </w:rPr>
              <w:t>13,5</w:t>
            </w:r>
          </w:p>
        </w:tc>
        <w:tc>
          <w:tcPr>
            <w:tcW w:w="1148" w:type="dxa"/>
            <w:vAlign w:val="top"/>
          </w:tcPr>
          <w:p>
            <w:pPr>
              <w:jc w:val="center"/>
              <w:rPr>
                <w:sz w:val="20"/>
              </w:rPr>
            </w:pPr>
            <w:r>
              <w:rPr>
                <w:sz w:val="20"/>
              </w:rPr>
              <w:t>31.649</w:t>
            </w:r>
          </w:p>
        </w:tc>
        <w:tc>
          <w:tcPr>
            <w:tcW w:w="1056" w:type="dxa"/>
            <w:vAlign w:val="top"/>
          </w:tcPr>
          <w:p>
            <w:pPr>
              <w:jc w:val="center"/>
              <w:rPr>
                <w:sz w:val="20"/>
              </w:rPr>
            </w:pPr>
            <w:r>
              <w:rPr>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01" w:type="dxa"/>
            <w:vAlign w:val="top"/>
          </w:tcPr>
          <w:p>
            <w:pPr>
              <w:jc w:val="center"/>
              <w:rPr>
                <w:sz w:val="20"/>
              </w:rPr>
            </w:pPr>
            <w:r>
              <w:rPr>
                <w:sz w:val="20"/>
              </w:rPr>
              <w:t>Mexico</w:t>
            </w:r>
          </w:p>
        </w:tc>
        <w:tc>
          <w:tcPr>
            <w:tcW w:w="1148" w:type="dxa"/>
            <w:vAlign w:val="top"/>
          </w:tcPr>
          <w:p>
            <w:pPr>
              <w:jc w:val="center"/>
              <w:rPr>
                <w:sz w:val="20"/>
              </w:rPr>
            </w:pPr>
            <w:r>
              <w:rPr>
                <w:sz w:val="20"/>
              </w:rPr>
              <w:t>22.473</w:t>
            </w:r>
          </w:p>
        </w:tc>
        <w:tc>
          <w:tcPr>
            <w:tcW w:w="1149" w:type="dxa"/>
            <w:vAlign w:val="top"/>
          </w:tcPr>
          <w:p>
            <w:pPr>
              <w:jc w:val="center"/>
              <w:rPr>
                <w:sz w:val="20"/>
              </w:rPr>
            </w:pPr>
            <w:r>
              <w:rPr>
                <w:sz w:val="20"/>
              </w:rPr>
              <w:t>15,5</w:t>
            </w:r>
          </w:p>
        </w:tc>
        <w:tc>
          <w:tcPr>
            <w:tcW w:w="1148" w:type="dxa"/>
            <w:vAlign w:val="top"/>
          </w:tcPr>
          <w:p>
            <w:pPr>
              <w:jc w:val="center"/>
              <w:rPr>
                <w:sz w:val="20"/>
              </w:rPr>
            </w:pPr>
            <w:r>
              <w:rPr>
                <w:sz w:val="20"/>
              </w:rPr>
              <w:t>24.752</w:t>
            </w:r>
          </w:p>
        </w:tc>
        <w:tc>
          <w:tcPr>
            <w:tcW w:w="1149" w:type="dxa"/>
            <w:vAlign w:val="top"/>
          </w:tcPr>
          <w:p>
            <w:pPr>
              <w:jc w:val="center"/>
              <w:rPr>
                <w:sz w:val="20"/>
              </w:rPr>
            </w:pPr>
            <w:r>
              <w:rPr>
                <w:sz w:val="20"/>
              </w:rPr>
              <w:t>15,2</w:t>
            </w:r>
          </w:p>
        </w:tc>
        <w:tc>
          <w:tcPr>
            <w:tcW w:w="1148" w:type="dxa"/>
            <w:vAlign w:val="top"/>
          </w:tcPr>
          <w:p>
            <w:pPr>
              <w:jc w:val="center"/>
              <w:rPr>
                <w:sz w:val="20"/>
              </w:rPr>
            </w:pPr>
            <w:r>
              <w:rPr>
                <w:sz w:val="20"/>
              </w:rPr>
              <w:t>30.357</w:t>
            </w:r>
          </w:p>
        </w:tc>
        <w:tc>
          <w:tcPr>
            <w:tcW w:w="1056" w:type="dxa"/>
            <w:vAlign w:val="top"/>
          </w:tcPr>
          <w:p>
            <w:pPr>
              <w:jc w:val="center"/>
              <w:rPr>
                <w:sz w:val="20"/>
              </w:rPr>
            </w:pPr>
            <w:r>
              <w:rPr>
                <w:sz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1" w:type="dxa"/>
            <w:vAlign w:val="top"/>
          </w:tcPr>
          <w:p>
            <w:pPr>
              <w:jc w:val="center"/>
              <w:rPr>
                <w:sz w:val="20"/>
              </w:rPr>
            </w:pPr>
            <w:r>
              <w:rPr>
                <w:sz w:val="20"/>
              </w:rPr>
              <w:t>El Salvador</w:t>
            </w:r>
          </w:p>
        </w:tc>
        <w:tc>
          <w:tcPr>
            <w:tcW w:w="1148" w:type="dxa"/>
            <w:vAlign w:val="top"/>
          </w:tcPr>
          <w:p>
            <w:pPr>
              <w:jc w:val="center"/>
              <w:rPr>
                <w:sz w:val="20"/>
              </w:rPr>
            </w:pPr>
            <w:r>
              <w:rPr>
                <w:sz w:val="20"/>
              </w:rPr>
              <w:t>38.029</w:t>
            </w:r>
          </w:p>
        </w:tc>
        <w:tc>
          <w:tcPr>
            <w:tcW w:w="1149" w:type="dxa"/>
            <w:vAlign w:val="top"/>
          </w:tcPr>
          <w:p>
            <w:pPr>
              <w:jc w:val="center"/>
              <w:rPr>
                <w:sz w:val="20"/>
              </w:rPr>
            </w:pPr>
            <w:r>
              <w:rPr>
                <w:sz w:val="20"/>
              </w:rPr>
              <w:t>26,3</w:t>
            </w:r>
          </w:p>
        </w:tc>
        <w:tc>
          <w:tcPr>
            <w:tcW w:w="1148" w:type="dxa"/>
            <w:vAlign w:val="top"/>
          </w:tcPr>
          <w:p>
            <w:pPr>
              <w:jc w:val="center"/>
              <w:rPr>
                <w:sz w:val="20"/>
              </w:rPr>
            </w:pPr>
            <w:r>
              <w:rPr>
                <w:sz w:val="20"/>
              </w:rPr>
              <w:t>32.233</w:t>
            </w:r>
          </w:p>
        </w:tc>
        <w:tc>
          <w:tcPr>
            <w:tcW w:w="1149" w:type="dxa"/>
            <w:vAlign w:val="top"/>
          </w:tcPr>
          <w:p>
            <w:pPr>
              <w:jc w:val="center"/>
              <w:rPr>
                <w:sz w:val="20"/>
              </w:rPr>
            </w:pPr>
            <w:r>
              <w:rPr>
                <w:sz w:val="20"/>
              </w:rPr>
              <w:t>19,7</w:t>
            </w:r>
          </w:p>
        </w:tc>
        <w:tc>
          <w:tcPr>
            <w:tcW w:w="1148" w:type="dxa"/>
            <w:vAlign w:val="top"/>
          </w:tcPr>
          <w:p>
            <w:pPr>
              <w:jc w:val="center"/>
              <w:rPr>
                <w:sz w:val="20"/>
              </w:rPr>
            </w:pPr>
            <w:r>
              <w:rPr>
                <w:sz w:val="20"/>
              </w:rPr>
              <w:t>29.779</w:t>
            </w:r>
          </w:p>
        </w:tc>
        <w:tc>
          <w:tcPr>
            <w:tcW w:w="1056" w:type="dxa"/>
            <w:vAlign w:val="top"/>
          </w:tcPr>
          <w:p>
            <w:pPr>
              <w:jc w:val="center"/>
              <w:rPr>
                <w:sz w:val="20"/>
              </w:rPr>
            </w:pPr>
            <w:r>
              <w:rPr>
                <w:sz w:val="20"/>
              </w:rPr>
              <w:t>14,1</w:t>
            </w:r>
          </w:p>
        </w:tc>
      </w:tr>
    </w:tbl>
    <w:p>
      <w:pPr>
        <w:tabs>
          <w:tab w:val="left" w:pos="8647"/>
        </w:tabs>
        <w:ind w:left="220" w:leftChars="100" w:right="191" w:firstLine="0" w:firstLineChars="0"/>
        <w:jc w:val="both"/>
        <w:rPr>
          <w:sz w:val="20"/>
        </w:rPr>
      </w:pPr>
      <w:r>
        <w:rPr>
          <w:sz w:val="20"/>
        </w:rPr>
        <w:t xml:space="preserve">Sumber: </w:t>
      </w:r>
      <w:r>
        <w:rPr>
          <w:i/>
          <w:iCs/>
          <w:sz w:val="20"/>
        </w:rPr>
        <w:t>U.S. Department of Justice,</w:t>
      </w:r>
      <w:r>
        <w:rPr>
          <w:sz w:val="20"/>
        </w:rPr>
        <w:t xml:space="preserve"> t</w:t>
      </w:r>
      <w:r>
        <w:rPr>
          <w:rFonts w:eastAsia="Times New Roman"/>
          <w:sz w:val="20"/>
        </w:rPr>
        <w:t xml:space="preserve">ersedia di </w:t>
      </w:r>
      <w:r>
        <w:rPr>
          <w:sz w:val="20"/>
        </w:rPr>
        <w:t>https://www.dhs.gov/immigration-statistics/refugees-asylees</w:t>
      </w:r>
    </w:p>
    <w:p>
      <w:pPr>
        <w:ind w:left="284" w:right="191" w:firstLine="425"/>
        <w:jc w:val="both"/>
        <w:rPr>
          <w:rFonts w:hint="default"/>
          <w:sz w:val="24"/>
          <w:szCs w:val="24"/>
          <w:lang w:val="en-US"/>
        </w:rPr>
      </w:pPr>
      <w:r>
        <w:rPr>
          <w:rFonts w:hint="default"/>
          <w:sz w:val="24"/>
          <w:szCs w:val="24"/>
          <w:lang w:val="en-US"/>
        </w:rPr>
        <w:t>Berdasarkan ketiga tabel diatas dapat disimpulkan bahwa negara asal pengungsi dan pencari suaka dari Amerika Tengah dengan jumlah terbanyak yaitu El Salvador. Kemudian diikuti oleh negara asal pencari suaka seperti Guatemala dan Honduras.</w:t>
      </w:r>
    </w:p>
    <w:p>
      <w:pPr>
        <w:ind w:left="284" w:right="191" w:firstLine="425"/>
        <w:jc w:val="both"/>
        <w:rPr>
          <w:rFonts w:hint="default"/>
          <w:sz w:val="24"/>
          <w:szCs w:val="24"/>
          <w:lang w:val="en-US"/>
        </w:rPr>
      </w:pPr>
      <w:r>
        <w:rPr>
          <w:rFonts w:hint="default"/>
          <w:sz w:val="24"/>
          <w:szCs w:val="24"/>
          <w:lang w:val="en-US"/>
        </w:rPr>
        <w:t>Tingginya angka migrasi dari El Salvador, Guatemala, dan Honduras ini disebabkan oleh beberapa faktor internal yang terjadi di negara-negara tersebut.</w:t>
      </w:r>
    </w:p>
    <w:p>
      <w:pPr>
        <w:ind w:left="284" w:right="191" w:firstLine="425"/>
        <w:jc w:val="both"/>
        <w:rPr>
          <w:rFonts w:hint="default"/>
          <w:sz w:val="24"/>
          <w:szCs w:val="24"/>
          <w:lang w:val="en-US"/>
        </w:rPr>
      </w:pPr>
      <w:r>
        <w:rPr>
          <w:rFonts w:hint="default"/>
          <w:sz w:val="24"/>
          <w:szCs w:val="24"/>
          <w:lang w:val="en-US"/>
        </w:rPr>
        <w:t>(1) El Salvador</w:t>
      </w:r>
    </w:p>
    <w:p>
      <w:pPr>
        <w:ind w:left="284" w:right="191" w:firstLine="425"/>
        <w:jc w:val="both"/>
        <w:rPr>
          <w:rFonts w:hint="default"/>
          <w:sz w:val="24"/>
          <w:szCs w:val="24"/>
          <w:lang w:val="en-US"/>
        </w:rPr>
      </w:pPr>
      <w:r>
        <w:rPr>
          <w:rFonts w:hint="default"/>
          <w:sz w:val="24"/>
          <w:szCs w:val="24"/>
          <w:lang w:val="en-US"/>
        </w:rPr>
        <w:t>Beberapa hal yang mendorong migrasi dari El Salvador ke AS antara lain adalah:</w:t>
      </w:r>
    </w:p>
    <w:p>
      <w:pPr>
        <w:numPr>
          <w:numId w:val="0"/>
        </w:numPr>
        <w:ind w:left="709" w:leftChars="0" w:right="191"/>
        <w:jc w:val="both"/>
        <w:rPr>
          <w:rFonts w:hint="default"/>
          <w:sz w:val="24"/>
          <w:szCs w:val="24"/>
          <w:lang w:val="en-US"/>
        </w:rPr>
      </w:pPr>
      <w:r>
        <w:rPr>
          <w:rFonts w:hint="default"/>
          <w:sz w:val="24"/>
          <w:szCs w:val="24"/>
          <w:lang w:val="en-US"/>
        </w:rPr>
        <w:t>a. Peristiwa La Matanza Tahun 1932 merupakan peristiwa pembunuhan ribuan orang El Salvador, terutama petani pribumi oleh pemerintah El Salvador karena menuntut kebebasan politik, reformasi ekonomi, dan redistribusi tanah (MPI. 2018).</w:t>
      </w:r>
    </w:p>
    <w:p>
      <w:pPr>
        <w:numPr>
          <w:numId w:val="0"/>
        </w:numPr>
        <w:ind w:left="709" w:leftChars="0" w:right="191"/>
        <w:jc w:val="both"/>
        <w:rPr>
          <w:rFonts w:hint="default"/>
          <w:sz w:val="24"/>
          <w:szCs w:val="24"/>
          <w:lang w:val="en-US"/>
        </w:rPr>
      </w:pPr>
      <w:r>
        <w:rPr>
          <w:rFonts w:hint="default"/>
          <w:sz w:val="24"/>
          <w:szCs w:val="24"/>
          <w:lang w:val="en-US"/>
        </w:rPr>
        <w:t>b. Dolarisasi yaitu penggunaan dolar AS sebagai mata uang resmi sejak 2001 di El Salvador, membuat struktur ekonomi tidak setara karena nilai tukar tidak seimbang membuat kebutuhan dasar sehari-hari mahal dan hampir tidak dapat terpenuhi (MPI. 2018).</w:t>
      </w:r>
    </w:p>
    <w:p>
      <w:pPr>
        <w:numPr>
          <w:numId w:val="0"/>
        </w:numPr>
        <w:ind w:left="709" w:leftChars="0" w:right="191"/>
        <w:jc w:val="both"/>
        <w:rPr>
          <w:rFonts w:hint="default"/>
          <w:sz w:val="24"/>
          <w:szCs w:val="24"/>
          <w:lang w:val="en-US"/>
        </w:rPr>
      </w:pPr>
      <w:r>
        <w:rPr>
          <w:rFonts w:hint="default"/>
          <w:sz w:val="24"/>
          <w:szCs w:val="24"/>
          <w:lang w:val="en-US"/>
        </w:rPr>
        <w:t>c. Tindak Kriminalitas, pada tahun 2018 tingkat pembunuhan di El Salvador mencapai 52,02 per 100.000 populasi dan menempati tingkat pembunuhan urutan ke 1 di dunia pada tahun 2018 (Macrotrends. 2019).</w:t>
      </w:r>
    </w:p>
    <w:p>
      <w:pPr>
        <w:ind w:left="284" w:right="191" w:firstLine="425"/>
        <w:jc w:val="both"/>
        <w:rPr>
          <w:rFonts w:hint="default"/>
          <w:sz w:val="24"/>
          <w:szCs w:val="24"/>
          <w:lang w:val="en-US"/>
        </w:rPr>
        <w:sectPr>
          <w:footerReference r:id="rId17" w:type="default"/>
          <w:footerReference r:id="rId18" w:type="even"/>
          <w:pgSz w:w="12240" w:h="15840"/>
          <w:pgMar w:top="1701" w:right="1701" w:bottom="1701" w:left="1701" w:header="709" w:footer="709" w:gutter="0"/>
          <w:pgNumType w:fmt="decimal" w:start="159"/>
          <w:cols w:space="720" w:num="1"/>
          <w:docGrid w:linePitch="360" w:charSpace="0"/>
        </w:sectPr>
      </w:pPr>
    </w:p>
    <w:p>
      <w:pPr>
        <w:ind w:left="284" w:right="191" w:firstLine="425"/>
        <w:jc w:val="both"/>
        <w:rPr>
          <w:rFonts w:hint="default"/>
          <w:sz w:val="24"/>
          <w:szCs w:val="24"/>
          <w:lang w:val="en-US"/>
        </w:rPr>
      </w:pPr>
      <w:r>
        <w:rPr>
          <w:rFonts w:hint="default"/>
          <w:sz w:val="24"/>
          <w:szCs w:val="24"/>
          <w:lang w:val="en-US"/>
        </w:rPr>
        <w:t>(2) Guatemala</w:t>
      </w:r>
    </w:p>
    <w:p>
      <w:pPr>
        <w:ind w:left="284" w:right="191" w:firstLine="425"/>
        <w:jc w:val="both"/>
        <w:rPr>
          <w:rFonts w:hint="default"/>
          <w:sz w:val="24"/>
          <w:szCs w:val="24"/>
          <w:lang w:val="en-US"/>
        </w:rPr>
      </w:pPr>
      <w:r>
        <w:rPr>
          <w:rFonts w:hint="default"/>
          <w:sz w:val="24"/>
          <w:szCs w:val="24"/>
          <w:lang w:val="en-US"/>
        </w:rPr>
        <w:t>Beberapa hal yang mendorong migrasi dari Guatemala ke AS antara lain adalah:</w:t>
      </w:r>
    </w:p>
    <w:p>
      <w:pPr>
        <w:numPr>
          <w:numId w:val="0"/>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a. Perang Saudara Pada Akhir Tahun 1970-an yaitu perang saudara yang terjadi di Guatemala antara pemberontak sayap kiri dan angkatan bersenjata pemerintah Guatemala. Perang tersebut menyebabkan ekonomi Guatemala mengalami krisis atau Lost Decade pada tahun 1980-an yang berakibat pada terjadinya pengangguran besar-besaran (MPI. 2013)</w:t>
      </w:r>
    </w:p>
    <w:p>
      <w:pPr>
        <w:numPr>
          <w:numId w:val="0"/>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b. Tindak Kriminalitas, pada tahun 2018 tingkat pembunuhan di Guatemala mencapai 22,50 per 100.000 populasi dan menempati tingkat pembunuhan urutan ke 6 di dunia pada tahun 2018 (</w:t>
      </w:r>
      <w:r>
        <w:rPr>
          <w:rFonts w:hint="default"/>
          <w:sz w:val="24"/>
          <w:szCs w:val="24"/>
          <w:lang w:val="en-US"/>
        </w:rPr>
        <w:t>Macrotrends. 2019).</w:t>
      </w:r>
    </w:p>
    <w:p>
      <w:pPr>
        <w:numPr>
          <w:numId w:val="0"/>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c. Bencana alam Badai Mitch pada tahun 1998, Badai Stan pada tahun 2005, dan Badai Agatha pada tahun 2010, yang menyebabkan orang-orang tewas dan hilang (MPI. 2013).</w:t>
      </w:r>
    </w:p>
    <w:p>
      <w:pPr>
        <w:numPr>
          <w:numId w:val="0"/>
        </w:numPr>
        <w:ind w:left="220" w:leftChars="100" w:right="191" w:firstLine="720" w:firstLineChars="0"/>
        <w:jc w:val="both"/>
        <w:rPr>
          <w:rFonts w:hint="default" w:eastAsia="Times New Roman"/>
          <w:color w:val="000000"/>
          <w:sz w:val="24"/>
          <w:szCs w:val="24"/>
          <w:lang w:val="en-US"/>
        </w:rPr>
      </w:pPr>
      <w:r>
        <w:rPr>
          <w:rFonts w:hint="default" w:eastAsia="Times New Roman"/>
          <w:color w:val="000000"/>
          <w:sz w:val="24"/>
          <w:szCs w:val="24"/>
          <w:lang w:val="en-US"/>
        </w:rPr>
        <w:t>Letak Guatemala yang berbatasan dengan Honduras dan El Salvador menyebabkan Guatemala menjadi wilayah transit bagi pengungsi dan pencari suaka dari Honduras dan El Salvador sebelum menuju AS (Ilmu pengetahuan umum. 2021).</w:t>
      </w:r>
    </w:p>
    <w:p>
      <w:pPr>
        <w:ind w:left="284" w:right="191" w:firstLine="425"/>
        <w:jc w:val="both"/>
        <w:rPr>
          <w:rFonts w:hint="default"/>
          <w:sz w:val="24"/>
          <w:szCs w:val="24"/>
          <w:lang w:val="en-US"/>
        </w:rPr>
      </w:pPr>
      <w:r>
        <w:rPr>
          <w:rFonts w:hint="default"/>
          <w:sz w:val="24"/>
          <w:szCs w:val="24"/>
          <w:lang w:val="en-US"/>
        </w:rPr>
        <w:t>(3) Honduras</w:t>
      </w:r>
    </w:p>
    <w:p>
      <w:pPr>
        <w:ind w:left="284" w:right="191" w:firstLine="425"/>
        <w:jc w:val="both"/>
        <w:rPr>
          <w:rFonts w:hint="default"/>
          <w:sz w:val="24"/>
          <w:szCs w:val="24"/>
          <w:lang w:val="en-US"/>
        </w:rPr>
      </w:pPr>
      <w:r>
        <w:rPr>
          <w:rFonts w:hint="default"/>
          <w:sz w:val="24"/>
          <w:szCs w:val="24"/>
          <w:lang w:val="en-US"/>
        </w:rPr>
        <w:t>Beberapa hal yang mendorong migrasi dari Honduras  ke AS antara lain adalah:</w:t>
      </w:r>
    </w:p>
    <w:p>
      <w:pPr>
        <w:numPr>
          <w:ilvl w:val="0"/>
          <w:numId w:val="2"/>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Bencana Alam Badai Mitch pada Oktober 1998 melanda Honduras yang mengakibatkan ribuan orang Honduras tewas dan hilang, serta menghancurkan daerah dataran rendah terutama tanaman tembakau dan pisang (MPI. 2013).</w:t>
      </w:r>
    </w:p>
    <w:p>
      <w:pPr>
        <w:numPr>
          <w:ilvl w:val="0"/>
          <w:numId w:val="2"/>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Krisis politik di Honduras pada tahun 2009 akibat penggulingan Presiden Manuel Zelaya yang ingin mengadakan referendum yang tidak mengikat dan mengubah konstitusi,  membuat institusi Honduras menjadi semakin terpolarisasi (EveryCRSReport. 2010).</w:t>
      </w:r>
    </w:p>
    <w:p>
      <w:pPr>
        <w:numPr>
          <w:ilvl w:val="0"/>
          <w:numId w:val="2"/>
        </w:numPr>
        <w:ind w:left="709" w:leftChars="0" w:right="191"/>
        <w:jc w:val="both"/>
        <w:rPr>
          <w:rFonts w:hint="default" w:eastAsia="Times New Roman"/>
          <w:color w:val="000000"/>
          <w:sz w:val="24"/>
          <w:szCs w:val="24"/>
          <w:lang w:val="en-US"/>
        </w:rPr>
      </w:pPr>
      <w:r>
        <w:rPr>
          <w:rFonts w:hint="default" w:eastAsia="Times New Roman"/>
          <w:color w:val="000000"/>
          <w:sz w:val="24"/>
          <w:szCs w:val="24"/>
          <w:lang w:val="en-US"/>
        </w:rPr>
        <w:t>Tindak Kriminalitas Pada tahun 2018, tingkat pembunuhan di Honduras mencapai 38,93 per 100.000 populasi dan menempati tingkat pembunuhan urutan ke 2 di dunia pada tahun 2018 (Macrotrends. 2019).</w:t>
      </w:r>
    </w:p>
    <w:p>
      <w:pPr>
        <w:numPr>
          <w:numId w:val="0"/>
        </w:numPr>
        <w:spacing w:after="200" w:line="276" w:lineRule="auto"/>
        <w:ind w:right="191"/>
        <w:jc w:val="both"/>
        <w:rPr>
          <w:rFonts w:hint="default" w:eastAsia="Times New Roman"/>
          <w:color w:val="000000"/>
          <w:sz w:val="24"/>
          <w:szCs w:val="24"/>
          <w:lang w:val="en-US"/>
        </w:rPr>
      </w:pPr>
    </w:p>
    <w:p>
      <w:pPr>
        <w:numPr>
          <w:numId w:val="0"/>
        </w:numPr>
        <w:spacing w:after="200" w:line="276" w:lineRule="auto"/>
        <w:ind w:right="191"/>
        <w:jc w:val="both"/>
        <w:rPr>
          <w:rFonts w:hint="default" w:eastAsia="Times New Roman"/>
          <w:color w:val="000000"/>
          <w:sz w:val="24"/>
          <w:szCs w:val="24"/>
          <w:lang w:val="en-US"/>
        </w:rPr>
      </w:pPr>
    </w:p>
    <w:p>
      <w:pPr>
        <w:numPr>
          <w:ilvl w:val="0"/>
          <w:numId w:val="1"/>
        </w:numPr>
        <w:tabs>
          <w:tab w:val="left" w:pos="8647"/>
        </w:tabs>
        <w:ind w:left="284" w:right="191"/>
        <w:jc w:val="both"/>
        <w:rPr>
          <w:rFonts w:hint="default"/>
          <w:b/>
          <w:sz w:val="24"/>
          <w:szCs w:val="24"/>
          <w:lang w:val="en-US"/>
        </w:rPr>
        <w:sectPr>
          <w:footerReference r:id="rId19" w:type="default"/>
          <w:footerReference r:id="rId20" w:type="even"/>
          <w:pgSz w:w="12240" w:h="15840"/>
          <w:pgMar w:top="1701" w:right="1701" w:bottom="1701" w:left="1701" w:header="709" w:footer="709" w:gutter="0"/>
          <w:pgNumType w:fmt="decimal" w:start="160"/>
          <w:cols w:space="720" w:num="1"/>
          <w:docGrid w:linePitch="360" w:charSpace="0"/>
        </w:sectPr>
      </w:pPr>
    </w:p>
    <w:p>
      <w:pPr>
        <w:numPr>
          <w:ilvl w:val="0"/>
          <w:numId w:val="1"/>
        </w:numPr>
        <w:tabs>
          <w:tab w:val="left" w:pos="8647"/>
        </w:tabs>
        <w:ind w:left="284" w:right="191"/>
        <w:jc w:val="both"/>
        <w:rPr>
          <w:rFonts w:hint="default"/>
          <w:b/>
          <w:sz w:val="24"/>
          <w:szCs w:val="24"/>
          <w:lang w:val="en-US"/>
        </w:rPr>
      </w:pPr>
      <w:r>
        <w:rPr>
          <w:rFonts w:hint="default"/>
          <w:b/>
          <w:sz w:val="24"/>
          <w:szCs w:val="24"/>
          <w:lang w:val="en-US"/>
        </w:rPr>
        <w:t>Upaya Pemerintahan Obama dalam Mengatasi Aliran Migrasi dari Amerika Tengah ke AS</w:t>
      </w:r>
    </w:p>
    <w:p>
      <w:pPr>
        <w:numPr>
          <w:numId w:val="0"/>
        </w:numPr>
        <w:tabs>
          <w:tab w:val="left" w:pos="8647"/>
        </w:tabs>
        <w:ind w:left="0" w:leftChars="0" w:right="191" w:firstLine="660" w:firstLineChars="275"/>
        <w:jc w:val="both"/>
        <w:rPr>
          <w:rFonts w:hint="default"/>
          <w:sz w:val="24"/>
          <w:szCs w:val="24"/>
          <w:lang w:val="en-US"/>
        </w:rPr>
      </w:pPr>
      <w:r>
        <w:rPr>
          <w:rFonts w:hint="default"/>
          <w:sz w:val="24"/>
          <w:szCs w:val="24"/>
          <w:lang w:val="en-US"/>
        </w:rPr>
        <w:t>Dampak negatif yang ditimbulkan akibat adanya migrasi tersebut, menyebabkan pemerintahan Obama mengambil beberapa kebijakan antara lain:</w:t>
      </w:r>
    </w:p>
    <w:p>
      <w:pPr>
        <w:numPr>
          <w:numId w:val="0"/>
        </w:numPr>
        <w:tabs>
          <w:tab w:val="left" w:pos="8647"/>
        </w:tabs>
        <w:ind w:left="660" w:leftChars="300" w:right="191" w:firstLine="0" w:firstLineChars="0"/>
        <w:jc w:val="both"/>
        <w:rPr>
          <w:rFonts w:hint="default"/>
          <w:sz w:val="24"/>
          <w:szCs w:val="24"/>
          <w:lang w:val="en-US"/>
        </w:rPr>
      </w:pPr>
      <w:r>
        <w:rPr>
          <w:rFonts w:hint="default"/>
          <w:sz w:val="24"/>
          <w:szCs w:val="24"/>
          <w:lang w:val="en-US"/>
        </w:rPr>
        <w:t xml:space="preserve">1. </w:t>
      </w:r>
      <w:r>
        <w:rPr>
          <w:rFonts w:hint="default"/>
          <w:i/>
          <w:iCs/>
          <w:sz w:val="24"/>
          <w:szCs w:val="24"/>
          <w:lang w:val="en-US"/>
        </w:rPr>
        <w:t>Central American Regional Security Initiative</w:t>
      </w:r>
      <w:r>
        <w:rPr>
          <w:rFonts w:hint="default"/>
          <w:sz w:val="24"/>
          <w:szCs w:val="24"/>
          <w:lang w:val="en-US"/>
        </w:rPr>
        <w:t xml:space="preserve"> (CARSI), program ini diluncurkan pada tahun 2010, yang bertujuan untuk mengembangkan pemerintah Amerika Tengah yang kuat, cakap, serta bertanggung jawab; dan membangun kehadiran layanan dan keamanan negara-negara Amerika Tengah yang efektif (US Embassy in Guatemala. 2017). Program ini adalah salah satu bentuk respon AS terhadap banyaknya anak-anak tanpa pendamping dari Amerika Tengah yang melarikan diri berjumlah sekitar 63.000 orang ke AS karena tingkat pembunuhan yang tinggi, adanya geng-geng kekerasan, dan tindak kejahatan yang sebagian besar tidak dihukum (Wilson Center.2022). Program CARSI tidak ditujukan untuk migrasi, akan tetapi dengan adanya program ini diharapkan dapat memperkuat, memperbaiki dan mensejahterakan kondisi dalam negeri Amerika Tengah agar orang-orang dari Amerika Tengah tidak pergi dari negaranya akibat dari kondisi negaranya yang tidak aman untuk meminta perlindungan dengan bermigrasi ke AS. Program CARSI kurang berjalan maksimal karena butuh waktu 10 hingga 15 tahun untuk melihat hasilnya (Gabriel de Lange. 2020).</w:t>
      </w:r>
    </w:p>
    <w:p>
      <w:pPr>
        <w:numPr>
          <w:numId w:val="0"/>
        </w:numPr>
        <w:tabs>
          <w:tab w:val="left" w:pos="8647"/>
        </w:tabs>
        <w:ind w:left="660" w:leftChars="300" w:right="191" w:firstLine="0" w:firstLineChars="0"/>
        <w:jc w:val="both"/>
        <w:rPr>
          <w:rFonts w:hint="default"/>
          <w:sz w:val="24"/>
          <w:szCs w:val="24"/>
          <w:lang w:val="en-US"/>
        </w:rPr>
      </w:pPr>
      <w:r>
        <w:rPr>
          <w:rFonts w:hint="default"/>
          <w:sz w:val="24"/>
          <w:szCs w:val="24"/>
          <w:lang w:val="en-US"/>
        </w:rPr>
        <w:t xml:space="preserve">2. </w:t>
      </w:r>
      <w:r>
        <w:rPr>
          <w:rFonts w:hint="default"/>
          <w:i/>
          <w:iCs/>
          <w:sz w:val="24"/>
          <w:szCs w:val="24"/>
          <w:lang w:val="en-US"/>
        </w:rPr>
        <w:t>The Plan of the Alliance for Prosperity</w:t>
      </w:r>
      <w:r>
        <w:rPr>
          <w:rFonts w:hint="default"/>
          <w:sz w:val="24"/>
          <w:szCs w:val="24"/>
          <w:lang w:val="en-US"/>
        </w:rPr>
        <w:t xml:space="preserve"> (A4P), program milik Obama ini diluncurkan pada tahun 2014. Program ini adalah rencana 5 tahun untuk mengatasi migrasi yang bertujuan untuk mendorong sektor produktivitas untuk mengatasi ekonomi yang tidak stabil di kawasan Amerika Tengah, mengembangkan SDM, dan meningkatkan keamanan warga. M</w:t>
      </w:r>
      <w:r>
        <w:rPr>
          <w:rFonts w:hint="default" w:eastAsia="Times New Roman"/>
          <w:color w:val="000000"/>
          <w:sz w:val="24"/>
          <w:szCs w:val="24"/>
          <w:lang w:val="en-US"/>
        </w:rPr>
        <w:t xml:space="preserve">enurut pemerintahan Trump, program A4P lambat dalam mengatasi masalah aliran migrasi dari Amerika Tengah ke AS dimana kemungkinan memerlukan waktu 10 hingga 15 tahun untuk melihat hasilnya </w:t>
      </w:r>
      <w:r>
        <w:rPr>
          <w:rFonts w:hint="default"/>
          <w:sz w:val="24"/>
          <w:szCs w:val="24"/>
          <w:lang w:val="en-US"/>
        </w:rPr>
        <w:t xml:space="preserve"> (Gabriel de Lange. 2020).</w:t>
      </w:r>
    </w:p>
    <w:p>
      <w:pPr>
        <w:numPr>
          <w:numId w:val="0"/>
        </w:numPr>
        <w:tabs>
          <w:tab w:val="left" w:pos="8647"/>
        </w:tabs>
        <w:ind w:left="660" w:leftChars="300" w:right="191" w:firstLine="0" w:firstLineChars="0"/>
        <w:jc w:val="both"/>
        <w:rPr>
          <w:rFonts w:hint="default" w:eastAsia="Times New Roman"/>
          <w:i w:val="0"/>
          <w:iCs w:val="0"/>
          <w:color w:val="000000"/>
          <w:sz w:val="24"/>
          <w:szCs w:val="24"/>
          <w:lang w:val="en-US"/>
        </w:rPr>
        <w:sectPr>
          <w:footerReference r:id="rId21" w:type="default"/>
          <w:footerReference r:id="rId22" w:type="even"/>
          <w:pgSz w:w="12240" w:h="15840"/>
          <w:pgMar w:top="1701" w:right="1701" w:bottom="1701" w:left="1701" w:header="709" w:footer="709" w:gutter="0"/>
          <w:pgNumType w:fmt="decimal" w:start="161"/>
          <w:cols w:space="720" w:num="1"/>
          <w:docGrid w:linePitch="360" w:charSpace="0"/>
        </w:sectPr>
      </w:pPr>
      <w:r>
        <w:rPr>
          <w:rFonts w:hint="default"/>
          <w:sz w:val="24"/>
          <w:szCs w:val="24"/>
          <w:lang w:val="en-US"/>
        </w:rPr>
        <w:t xml:space="preserve">3. </w:t>
      </w:r>
      <w:r>
        <w:rPr>
          <w:rFonts w:hint="default"/>
          <w:i/>
          <w:iCs/>
          <w:sz w:val="24"/>
          <w:szCs w:val="24"/>
          <w:lang w:val="en-US"/>
        </w:rPr>
        <w:t xml:space="preserve">Dangers Awareness Campaign </w:t>
      </w:r>
      <w:r>
        <w:rPr>
          <w:rFonts w:hint="default"/>
          <w:i w:val="0"/>
          <w:iCs w:val="0"/>
          <w:sz w:val="24"/>
          <w:szCs w:val="24"/>
          <w:lang w:val="en-US"/>
        </w:rPr>
        <w:t>diluncurkan</w:t>
      </w:r>
      <w:r>
        <w:rPr>
          <w:rFonts w:hint="default"/>
          <w:i/>
          <w:iCs/>
          <w:sz w:val="24"/>
          <w:szCs w:val="24"/>
          <w:lang w:val="en-US"/>
        </w:rPr>
        <w:t xml:space="preserve"> </w:t>
      </w:r>
      <w:r>
        <w:rPr>
          <w:rFonts w:hint="default"/>
          <w:i w:val="0"/>
          <w:iCs w:val="0"/>
          <w:sz w:val="24"/>
          <w:szCs w:val="24"/>
          <w:lang w:val="en-US"/>
        </w:rPr>
        <w:t>p</w:t>
      </w:r>
      <w:r>
        <w:rPr>
          <w:rFonts w:hint="default" w:eastAsia="Times New Roman"/>
          <w:color w:val="000000"/>
          <w:sz w:val="24"/>
          <w:szCs w:val="24"/>
          <w:lang w:val="en-US"/>
        </w:rPr>
        <w:t xml:space="preserve">ada tanggal 3 Juli 2014 </w:t>
      </w:r>
      <w:r>
        <w:rPr>
          <w:rFonts w:hint="default" w:eastAsia="Times New Roman"/>
          <w:i w:val="0"/>
          <w:iCs w:val="0"/>
          <w:color w:val="000000"/>
          <w:sz w:val="24"/>
          <w:szCs w:val="24"/>
          <w:lang w:val="en-US"/>
        </w:rPr>
        <w:t xml:space="preserve">merupakan kampanye pendidikan yang bertujuan untuk menghalangi individu-individu yang mencoba bermigrasi ke AS secara ilegal yang dilaksanakan melalui media yang diluncurkan di Amerika Tengah melalui radio, media cetak, dan acara TV selama musim panas (The White House. 2014). Kampanye ini gagal dalam mengatasi aliran migrasi dari Amerika Tengah ke AS. Menurut hasil survei tahun 2014, yaitu Latin American Public Opinion Project (LAPOP), yang dilakukan oleh Universitas Vanderbilt di Honduras dan El Salvador, pengungsi dan pencari suaka menyadari bahaya migrasi menuju ke AS. Namun, mereka mengalami pengalaman pribadi </w:t>
      </w:r>
    </w:p>
    <w:p>
      <w:pPr>
        <w:numPr>
          <w:numId w:val="0"/>
        </w:numPr>
        <w:tabs>
          <w:tab w:val="left" w:pos="8647"/>
        </w:tabs>
        <w:ind w:left="660" w:leftChars="300" w:right="191" w:firstLine="0" w:firstLineChars="0"/>
        <w:jc w:val="both"/>
        <w:rPr>
          <w:rFonts w:hint="default" w:eastAsia="Times New Roman"/>
          <w:i w:val="0"/>
          <w:iCs w:val="0"/>
          <w:color w:val="000000"/>
          <w:sz w:val="24"/>
          <w:szCs w:val="24"/>
          <w:lang w:val="en-US"/>
        </w:rPr>
      </w:pPr>
      <w:r>
        <w:rPr>
          <w:rFonts w:hint="default" w:eastAsia="Times New Roman"/>
          <w:i w:val="0"/>
          <w:iCs w:val="0"/>
          <w:color w:val="000000"/>
          <w:sz w:val="24"/>
          <w:szCs w:val="24"/>
          <w:lang w:val="en-US"/>
        </w:rPr>
        <w:t>dimana mereka menjadi korban kejahatan yang membuat mereka tetap melakukan migrasi (</w:t>
      </w:r>
      <w:r>
        <w:rPr>
          <w:rFonts w:hint="default" w:eastAsia="Times New Roman"/>
          <w:i/>
          <w:iCs/>
          <w:color w:val="000000"/>
          <w:sz w:val="24"/>
          <w:szCs w:val="24"/>
          <w:lang w:val="en-US"/>
        </w:rPr>
        <w:t xml:space="preserve">American Immigration Council. </w:t>
      </w:r>
      <w:r>
        <w:rPr>
          <w:rFonts w:hint="default" w:eastAsia="Times New Roman"/>
          <w:i w:val="0"/>
          <w:iCs w:val="0"/>
          <w:color w:val="000000"/>
          <w:sz w:val="24"/>
          <w:szCs w:val="24"/>
          <w:lang w:val="en-US"/>
        </w:rPr>
        <w:t>2016).</w:t>
      </w:r>
    </w:p>
    <w:p>
      <w:pPr>
        <w:numPr>
          <w:numId w:val="0"/>
        </w:numPr>
        <w:tabs>
          <w:tab w:val="left" w:pos="8647"/>
        </w:tabs>
        <w:ind w:left="220" w:leftChars="100" w:right="191" w:firstLine="439" w:firstLineChars="183"/>
        <w:jc w:val="both"/>
        <w:rPr>
          <w:rFonts w:hint="default" w:eastAsia="Times New Roman"/>
          <w:i w:val="0"/>
          <w:iCs w:val="0"/>
          <w:color w:val="000000"/>
          <w:sz w:val="24"/>
          <w:szCs w:val="24"/>
          <w:lang w:val="en-US"/>
        </w:rPr>
      </w:pPr>
      <w:r>
        <w:rPr>
          <w:rFonts w:hint="default"/>
          <w:sz w:val="24"/>
          <w:szCs w:val="24"/>
          <w:lang w:val="en-US"/>
        </w:rPr>
        <w:t>Ketiga kebijakan pada masa Obama berdasarkan penerapannya diatas tidak mampu mengatasi masalah migrasi ini. Hal ini terlihat pada jumlah migrasi dari ketiga negara menuju AS masih meningkat berdasarkan pada tabel 1.1, 1.2, dan 1.3.</w:t>
      </w:r>
    </w:p>
    <w:p>
      <w:pPr>
        <w:numPr>
          <w:ilvl w:val="0"/>
          <w:numId w:val="1"/>
        </w:numPr>
        <w:tabs>
          <w:tab w:val="left" w:pos="8647"/>
        </w:tabs>
        <w:ind w:left="284" w:right="191"/>
        <w:jc w:val="both"/>
        <w:rPr>
          <w:rFonts w:hint="default"/>
          <w:b/>
          <w:sz w:val="24"/>
          <w:szCs w:val="24"/>
          <w:lang w:val="en-US"/>
        </w:rPr>
      </w:pPr>
      <w:r>
        <w:rPr>
          <w:rFonts w:hint="default"/>
          <w:b/>
          <w:sz w:val="24"/>
          <w:szCs w:val="24"/>
          <w:lang w:val="en-US"/>
        </w:rPr>
        <w:t xml:space="preserve">Perjanjian </w:t>
      </w:r>
      <w:r>
        <w:rPr>
          <w:rFonts w:hint="default"/>
          <w:b/>
          <w:i/>
          <w:iCs/>
          <w:sz w:val="24"/>
          <w:szCs w:val="24"/>
          <w:lang w:val="en-US"/>
        </w:rPr>
        <w:t>Safe Third Country</w:t>
      </w:r>
    </w:p>
    <w:p>
      <w:pPr>
        <w:numPr>
          <w:numId w:val="0"/>
        </w:numPr>
        <w:tabs>
          <w:tab w:val="left" w:pos="8647"/>
        </w:tabs>
        <w:ind w:left="220" w:leftChars="100" w:right="191" w:firstLine="439" w:firstLineChars="183"/>
        <w:jc w:val="both"/>
        <w:rPr>
          <w:rFonts w:hint="default"/>
          <w:sz w:val="24"/>
          <w:szCs w:val="24"/>
          <w:lang w:val="en-US"/>
        </w:rPr>
      </w:pPr>
      <w:r>
        <w:rPr>
          <w:rFonts w:hint="default"/>
          <w:sz w:val="24"/>
          <w:szCs w:val="24"/>
          <w:lang w:val="en-US"/>
        </w:rPr>
        <w:t xml:space="preserve"> Oleh karena hal tersebut kemudian Trump membuat kesepakatan kerjasama bilateral dengan Guatemala yaitu </w:t>
      </w:r>
      <w:r>
        <w:rPr>
          <w:rFonts w:hint="default"/>
          <w:i/>
          <w:iCs/>
          <w:sz w:val="24"/>
          <w:szCs w:val="24"/>
          <w:lang w:val="en-US"/>
        </w:rPr>
        <w:t xml:space="preserve">Safe Third Country </w:t>
      </w:r>
      <w:r>
        <w:rPr>
          <w:rFonts w:hint="default"/>
          <w:sz w:val="24"/>
          <w:szCs w:val="24"/>
          <w:lang w:val="en-US"/>
        </w:rPr>
        <w:t>untuk mendapatkan hasil yang cepat dan mengangkat beban migrasi secara langsung. (Gabriel de Lange. 2020).</w:t>
      </w:r>
    </w:p>
    <w:p>
      <w:pPr>
        <w:numPr>
          <w:numId w:val="0"/>
        </w:numPr>
        <w:tabs>
          <w:tab w:val="left" w:pos="8647"/>
        </w:tabs>
        <w:ind w:left="220" w:leftChars="100" w:right="191" w:firstLine="439" w:firstLineChars="183"/>
        <w:jc w:val="both"/>
        <w:rPr>
          <w:rFonts w:hint="default"/>
          <w:sz w:val="24"/>
          <w:szCs w:val="24"/>
          <w:lang w:val="en-US"/>
        </w:rPr>
      </w:pPr>
      <w:r>
        <w:rPr>
          <w:rFonts w:hint="default"/>
          <w:sz w:val="24"/>
          <w:szCs w:val="24"/>
          <w:lang w:val="en-US"/>
        </w:rPr>
        <w:t>Terdapat 3 rencana implementasi dalam Perjanjian Safe Third Country. Adapun isi dari rencana implementasi dalam perjanjian ini adalah : pertama, kedua pihak akan mengembangkan prosedur yang diperlukan untuk melaksanakan pemindahan individu dibawah perjanjian ini; kedua, jumlah orang yang akan dipindahkan ke Guatemala; dan ketiga, persyaratan kapasitas kelembagaan di Guatemala. Selain itu, kedua pihak akan bekerjasama untuk mengidentifikasi orang-orang yang tepat untuk dipindahkan ke Guatemala. AS juga berencana bekerjasama untuk memperkuat kapasitas kelembagaan di Guatemala (AILA. 2019).</w:t>
      </w:r>
    </w:p>
    <w:p>
      <w:pPr>
        <w:tabs>
          <w:tab w:val="left" w:pos="8647"/>
        </w:tabs>
        <w:ind w:left="284" w:right="191"/>
        <w:jc w:val="both"/>
        <w:rPr>
          <w:rFonts w:hint="default"/>
          <w:b/>
          <w:sz w:val="24"/>
          <w:szCs w:val="24"/>
          <w:lang w:val="en-US"/>
        </w:rPr>
      </w:pPr>
      <w:r>
        <w:rPr>
          <w:rFonts w:hint="default"/>
          <w:b/>
          <w:sz w:val="24"/>
          <w:szCs w:val="24"/>
          <w:lang w:val="en-US"/>
        </w:rPr>
        <w:t xml:space="preserve">D. Implementasi Perjanjian </w:t>
      </w:r>
      <w:r>
        <w:rPr>
          <w:rFonts w:hint="default"/>
          <w:b/>
          <w:i/>
          <w:iCs/>
          <w:sz w:val="24"/>
          <w:szCs w:val="24"/>
          <w:lang w:val="en-US"/>
        </w:rPr>
        <w:t>Safe Third Country</w:t>
      </w:r>
    </w:p>
    <w:p>
      <w:pPr>
        <w:tabs>
          <w:tab w:val="left" w:pos="8647"/>
        </w:tabs>
        <w:ind w:left="284" w:right="191" w:firstLine="425"/>
        <w:jc w:val="both"/>
        <w:rPr>
          <w:sz w:val="24"/>
          <w:szCs w:val="24"/>
        </w:rPr>
      </w:pPr>
      <w:r>
        <w:rPr>
          <w:rFonts w:hint="default"/>
          <w:sz w:val="24"/>
          <w:szCs w:val="24"/>
          <w:lang w:val="en-US"/>
        </w:rPr>
        <w:t xml:space="preserve">Implementasi Perjanjian Safe Third Country antara AS dan Guatemala telah resmi dijalankan pada 21 November 2019 - 16 Maret 2020. Dalam implementasi Perjanjian </w:t>
      </w:r>
      <w:r>
        <w:rPr>
          <w:rFonts w:hint="default"/>
          <w:i/>
          <w:iCs/>
          <w:sz w:val="24"/>
          <w:szCs w:val="24"/>
          <w:lang w:val="en-US"/>
        </w:rPr>
        <w:t>Safe Third Country</w:t>
      </w:r>
      <w:r>
        <w:rPr>
          <w:rFonts w:hint="default"/>
          <w:sz w:val="24"/>
          <w:szCs w:val="24"/>
          <w:lang w:val="en-US"/>
        </w:rPr>
        <w:t xml:space="preserve">, AS hanya memindahkan pengungsi dan pencari suaka dari perbatasan Selatan AS ke Guatemala tanpa melakukan pertimbangan terlebih dulu. Selain itu, tugas untuk merawat penerima pemindahan di bawah perjanjian ini seolah-olah berada pada organisasi masyarakat sipil non pemerintah yaitu Refugio de la Ninez dan Casa del Migrante. </w:t>
      </w:r>
      <w:r>
        <w:rPr>
          <w:sz w:val="24"/>
          <w:szCs w:val="24"/>
        </w:rPr>
        <w:t xml:space="preserve">Berikut pembahasan terkait </w:t>
      </w:r>
      <w:r>
        <w:rPr>
          <w:rFonts w:hint="default"/>
          <w:sz w:val="24"/>
          <w:szCs w:val="24"/>
          <w:lang w:val="en-US"/>
        </w:rPr>
        <w:t xml:space="preserve">3 program implementasi Perjanjian </w:t>
      </w:r>
      <w:r>
        <w:rPr>
          <w:rFonts w:hint="default"/>
          <w:i/>
          <w:iCs/>
          <w:sz w:val="24"/>
          <w:szCs w:val="24"/>
          <w:lang w:val="en-US"/>
        </w:rPr>
        <w:t>Safe Third Country</w:t>
      </w:r>
      <w:r>
        <w:rPr>
          <w:rFonts w:hint="default"/>
          <w:i w:val="0"/>
          <w:iCs w:val="0"/>
          <w:sz w:val="24"/>
          <w:szCs w:val="24"/>
          <w:lang w:val="en-US"/>
        </w:rPr>
        <w:t>.</w:t>
      </w:r>
    </w:p>
    <w:p>
      <w:pPr>
        <w:tabs>
          <w:tab w:val="left" w:pos="8647"/>
        </w:tabs>
        <w:ind w:left="284" w:right="191"/>
        <w:jc w:val="both"/>
        <w:rPr>
          <w:b/>
          <w:sz w:val="24"/>
          <w:szCs w:val="24"/>
        </w:rPr>
      </w:pPr>
      <w:r>
        <w:rPr>
          <w:rFonts w:hint="default"/>
          <w:b/>
          <w:sz w:val="24"/>
          <w:szCs w:val="24"/>
          <w:lang w:val="en-US"/>
        </w:rPr>
        <w:t>1</w:t>
      </w:r>
      <w:r>
        <w:rPr>
          <w:b/>
          <w:sz w:val="24"/>
          <w:szCs w:val="24"/>
        </w:rPr>
        <w:t xml:space="preserve">. </w:t>
      </w:r>
      <w:r>
        <w:rPr>
          <w:rFonts w:hint="default"/>
          <w:b/>
          <w:sz w:val="24"/>
          <w:szCs w:val="24"/>
          <w:lang w:val="en-US"/>
        </w:rPr>
        <w:t>Penentuan Prosedur Pemindahan Individu</w:t>
      </w:r>
    </w:p>
    <w:p>
      <w:pPr>
        <w:tabs>
          <w:tab w:val="left" w:pos="8647"/>
        </w:tabs>
        <w:ind w:left="284" w:right="191" w:firstLine="567"/>
        <w:jc w:val="both"/>
        <w:rPr>
          <w:rFonts w:hint="default"/>
          <w:sz w:val="24"/>
          <w:szCs w:val="24"/>
          <w:lang w:val="en-US"/>
        </w:rPr>
      </w:pPr>
      <w:r>
        <w:rPr>
          <w:rFonts w:hint="default"/>
          <w:sz w:val="24"/>
          <w:szCs w:val="24"/>
          <w:lang w:val="en-US"/>
        </w:rPr>
        <w:t>Petugas DHS tidak mempertimbangkan apakah penerima pemindahan ini takut akan penganiayaan atau penyiksaan di Guatemala ketika mereka dipindahkan ke negara tersebut. Seharusnya, para penerima pemindahan ini diberi pemberitahuan tertulis dalam bentuk dokumen atau yang disebut tear sheet yang menyatakan bahwa jika pemohon takut dipindahkan ke negara tersebut karena kemungkinan penyiksaan atau penganiayaan di tanah yang dilindungi tersebut maka pemohon harus menyatakan ketakutan tersebut (Yael Schacher et al. 2020).</w:t>
      </w:r>
    </w:p>
    <w:p>
      <w:pPr>
        <w:tabs>
          <w:tab w:val="left" w:pos="8647"/>
        </w:tabs>
        <w:ind w:left="284" w:right="191" w:firstLine="567"/>
        <w:jc w:val="both"/>
        <w:rPr>
          <w:rFonts w:hint="default"/>
          <w:sz w:val="24"/>
          <w:szCs w:val="24"/>
          <w:lang w:val="en-US"/>
        </w:rPr>
        <w:sectPr>
          <w:footerReference r:id="rId23" w:type="default"/>
          <w:footerReference r:id="rId24" w:type="even"/>
          <w:pgSz w:w="12240" w:h="15840"/>
          <w:pgMar w:top="1701" w:right="1701" w:bottom="1701" w:left="1701" w:header="709" w:footer="709" w:gutter="0"/>
          <w:pgNumType w:fmt="decimal" w:start="162"/>
          <w:cols w:space="720" w:num="1"/>
          <w:docGrid w:linePitch="360" w:charSpace="0"/>
        </w:sectPr>
      </w:pPr>
    </w:p>
    <w:p>
      <w:pPr>
        <w:tabs>
          <w:tab w:val="left" w:pos="8647"/>
        </w:tabs>
        <w:ind w:left="284" w:right="191" w:firstLine="567"/>
        <w:jc w:val="both"/>
        <w:rPr>
          <w:rFonts w:hint="default"/>
          <w:sz w:val="24"/>
          <w:szCs w:val="24"/>
          <w:lang w:val="en-US"/>
        </w:rPr>
      </w:pPr>
      <w:r>
        <w:rPr>
          <w:rFonts w:hint="default"/>
          <w:sz w:val="24"/>
          <w:szCs w:val="24"/>
          <w:lang w:val="en-US"/>
        </w:rPr>
        <w:t xml:space="preserve">Sebanyak 10 orang dari penerima pemindahan yang telah diwawancarai oleh </w:t>
      </w:r>
      <w:r>
        <w:rPr>
          <w:rFonts w:hint="default"/>
          <w:i/>
          <w:iCs/>
          <w:sz w:val="24"/>
          <w:szCs w:val="24"/>
          <w:lang w:val="en-US"/>
        </w:rPr>
        <w:t>Refugees International and Human Rights Watch</w:t>
      </w:r>
      <w:r>
        <w:rPr>
          <w:rFonts w:hint="default"/>
          <w:sz w:val="24"/>
          <w:szCs w:val="24"/>
          <w:lang w:val="en-US"/>
        </w:rPr>
        <w:t xml:space="preserve"> mengatakan bahwa mereka menerima penjelasan tambahan dalam bahasa Spanyol mengenai Perjanjian </w:t>
      </w:r>
      <w:r>
        <w:rPr>
          <w:rFonts w:hint="default"/>
          <w:i/>
          <w:iCs/>
          <w:sz w:val="24"/>
          <w:szCs w:val="24"/>
          <w:lang w:val="en-US"/>
        </w:rPr>
        <w:t>Safe Third Country</w:t>
      </w:r>
      <w:r>
        <w:rPr>
          <w:rFonts w:hint="default"/>
          <w:sz w:val="24"/>
          <w:szCs w:val="24"/>
          <w:lang w:val="en-US"/>
        </w:rPr>
        <w:t>. Namun, para penerima pemindahan ini mengatakan bahwa mereka tidak mengerti maksud dari penjelasan ini. Hal ini merupakan pelanggaran instruksi petugas suaka dimana seharusnya petugas memastikan bahwa semua orang penerima pemindahan di bawah perjanjian ini memahami penjelasan ini (Yael Schacher et al. 2020).</w:t>
      </w:r>
    </w:p>
    <w:p>
      <w:pPr>
        <w:tabs>
          <w:tab w:val="left" w:pos="8647"/>
        </w:tabs>
        <w:ind w:left="284" w:right="191" w:firstLine="567"/>
        <w:jc w:val="both"/>
        <w:rPr>
          <w:rFonts w:hint="default"/>
          <w:sz w:val="24"/>
          <w:szCs w:val="24"/>
          <w:lang w:val="en-US"/>
        </w:rPr>
      </w:pPr>
      <w:r>
        <w:rPr>
          <w:rFonts w:hint="default"/>
          <w:sz w:val="24"/>
          <w:szCs w:val="24"/>
          <w:lang w:val="en-US"/>
        </w:rPr>
        <w:t>Seperti banyak orang dewasa yang dikirim ke Guatemala dari fasilitas tenda di Donna, Jorge dibelenggu di pinggang, pergelangan tangan, dan pergelangan kaki selama proses pemindahan selama 12 jam. Pengekangan ini dilakukan dengan aman dan tidak menyakitkan bagi penerima pemindahan sesuai dengan standar CBP (U.S CBP. 2015).</w:t>
      </w:r>
    </w:p>
    <w:p>
      <w:pPr>
        <w:tabs>
          <w:tab w:val="left" w:pos="8647"/>
        </w:tabs>
        <w:ind w:left="284" w:right="191" w:firstLine="567"/>
        <w:jc w:val="both"/>
        <w:rPr>
          <w:rFonts w:hint="default"/>
          <w:sz w:val="24"/>
          <w:szCs w:val="24"/>
          <w:lang w:val="en-US"/>
        </w:rPr>
      </w:pPr>
      <w:r>
        <w:rPr>
          <w:rFonts w:hint="default"/>
          <w:sz w:val="24"/>
          <w:szCs w:val="24"/>
          <w:lang w:val="en-US"/>
        </w:rPr>
        <w:t>Para penerima pemindahan di bawah perjanjian ini diterbangkan ke bandara La Aurora di Guatemala City dari perbatasan Selatan AS, umumnya di pesawat yang sama dengan warga Guatemala yang dideportasi. Setelahnya, mereka diturunkan di hanggar Angkatan Udara Guatemala. Penerima pemindahan ini juga mengatakan bahwa pendaftaran dan pemrosesan mereka di bandara Guatemala tidak memadai, yaitu kurang dalam perawatan penerimaan kemanusiaan dan akses ke informasi (Yael Schacher et al. 2020).</w:t>
      </w:r>
    </w:p>
    <w:p>
      <w:pPr>
        <w:tabs>
          <w:tab w:val="left" w:pos="8647"/>
        </w:tabs>
        <w:ind w:left="284" w:right="191" w:firstLine="567"/>
        <w:jc w:val="both"/>
        <w:rPr>
          <w:rFonts w:hint="default"/>
          <w:i w:val="0"/>
          <w:iCs w:val="0"/>
          <w:sz w:val="24"/>
          <w:szCs w:val="24"/>
          <w:lang w:val="en-US"/>
        </w:rPr>
      </w:pPr>
      <w:r>
        <w:rPr>
          <w:rFonts w:hint="default"/>
          <w:sz w:val="24"/>
          <w:szCs w:val="24"/>
          <w:lang w:val="en-US"/>
        </w:rPr>
        <w:t>Perwakilan dari Institut Migrasi dan Kementrian Hubungan Luar Negeri mendaftarkan penerima pemindahan di bawah perjanjian ini. Kantor Hak Asasi Manusia di Guatemala, yaitu kantor pemerintah independen yang bertugas untuk menyelidiki pelanggaran hak asasi manusia di negara tersebut memantau proses pendaftaran. Kemudian, ketika para penerima pemindahan dibawa ke organisasi masyarakat sipil, Refugio de la Ninez (perlindungan anak) dan Casa del Migrante (Yael Schacher et al. 2020)</w:t>
      </w:r>
      <w:r>
        <w:rPr>
          <w:rFonts w:hint="default"/>
          <w:i w:val="0"/>
          <w:iCs w:val="0"/>
          <w:sz w:val="24"/>
          <w:szCs w:val="24"/>
          <w:lang w:val="en-US"/>
        </w:rPr>
        <w:t>.</w:t>
      </w:r>
    </w:p>
    <w:p>
      <w:pPr>
        <w:tabs>
          <w:tab w:val="left" w:pos="8647"/>
        </w:tabs>
        <w:ind w:left="284" w:right="191"/>
        <w:jc w:val="both"/>
        <w:rPr>
          <w:b/>
          <w:sz w:val="24"/>
          <w:szCs w:val="24"/>
        </w:rPr>
      </w:pPr>
      <w:r>
        <w:rPr>
          <w:rFonts w:hint="default"/>
          <w:b/>
          <w:sz w:val="24"/>
          <w:szCs w:val="24"/>
          <w:lang w:val="en-US"/>
        </w:rPr>
        <w:t>2</w:t>
      </w:r>
      <w:r>
        <w:rPr>
          <w:b/>
          <w:sz w:val="24"/>
          <w:szCs w:val="24"/>
        </w:rPr>
        <w:t xml:space="preserve">. </w:t>
      </w:r>
      <w:r>
        <w:rPr>
          <w:rFonts w:hint="default"/>
          <w:b/>
          <w:sz w:val="24"/>
          <w:szCs w:val="24"/>
          <w:lang w:val="en-US"/>
        </w:rPr>
        <w:t>Penentuan Jumlah Orang yang Akan Dipindahkan ke Guatemala</w:t>
      </w:r>
    </w:p>
    <w:p>
      <w:pPr>
        <w:tabs>
          <w:tab w:val="left" w:pos="8647"/>
        </w:tabs>
        <w:ind w:left="284" w:right="191" w:firstLine="567"/>
        <w:jc w:val="both"/>
        <w:rPr>
          <w:rFonts w:hint="default"/>
          <w:sz w:val="24"/>
          <w:szCs w:val="24"/>
          <w:lang w:val="en-US"/>
        </w:rPr>
        <w:sectPr>
          <w:footerReference r:id="rId25" w:type="default"/>
          <w:footerReference r:id="rId26" w:type="even"/>
          <w:pgSz w:w="12240" w:h="15840"/>
          <w:pgMar w:top="1701" w:right="1701" w:bottom="1701" w:left="1701" w:header="709" w:footer="709" w:gutter="0"/>
          <w:pgNumType w:fmt="decimal" w:start="163"/>
          <w:cols w:space="720" w:num="1"/>
          <w:docGrid w:linePitch="360" w:charSpace="0"/>
        </w:sectPr>
      </w:pPr>
      <w:r>
        <w:rPr>
          <w:rFonts w:hint="default"/>
          <w:sz w:val="24"/>
          <w:szCs w:val="24"/>
          <w:lang w:val="en-US"/>
        </w:rPr>
        <w:t xml:space="preserve">Untuk menentukan jumlah orang yang akan dipindahkan ke Guatemala, petugas suaka memberi informasi kepada para penerima pemindahan bahwa mereka akan dipindahkan ke Guatemala di bawah perjanjian ini. Seorang pejabat </w:t>
      </w:r>
      <w:r>
        <w:rPr>
          <w:rFonts w:hint="default"/>
          <w:i/>
          <w:iCs/>
          <w:sz w:val="24"/>
          <w:szCs w:val="24"/>
          <w:lang w:val="en-US"/>
        </w:rPr>
        <w:t>Department of Homeland Security</w:t>
      </w:r>
      <w:r>
        <w:rPr>
          <w:rFonts w:hint="default"/>
          <w:sz w:val="24"/>
          <w:szCs w:val="24"/>
          <w:lang w:val="en-US"/>
        </w:rPr>
        <w:t xml:space="preserve"> (DHS) AS mengatakan kepada penerima pemindahan bahwa tidak ada suaka dan tidak ada orang dari Amerika Tengah yang diijinkan masuk ke AS, serta diharuskan untuk memilih antara dikirim kembali ke negara asalnya atau ke Guatemala. Antara 21 November 2019 hingga 16 Maret 2020, AS telah memindahkan sebanyak 939 orang pengungsi dan pencari suaka dari El Salvador dan Honduras ke </w:t>
      </w:r>
    </w:p>
    <w:p>
      <w:pPr>
        <w:tabs>
          <w:tab w:val="left" w:pos="8647"/>
        </w:tabs>
        <w:ind w:left="284" w:right="191" w:firstLine="567"/>
        <w:jc w:val="both"/>
        <w:rPr>
          <w:rFonts w:hint="default"/>
          <w:sz w:val="24"/>
          <w:szCs w:val="24"/>
          <w:lang w:val="en-US"/>
        </w:rPr>
      </w:pPr>
      <w:r>
        <w:rPr>
          <w:rFonts w:hint="default"/>
          <w:sz w:val="24"/>
          <w:szCs w:val="24"/>
          <w:lang w:val="en-US"/>
        </w:rPr>
        <w:t>Guatemala dibawah perjanjian ini, dimana 75 persennya merupakan perempuan dan anak-anak. Namun hanya 20 dari 939 orang penerima pemindahan yang mengajukan suaka di Guatemala (Yael Schacher et al. 2020)</w:t>
      </w:r>
      <w:r>
        <w:rPr>
          <w:rFonts w:hint="default"/>
          <w:i w:val="0"/>
          <w:iCs w:val="0"/>
          <w:sz w:val="24"/>
          <w:szCs w:val="24"/>
          <w:lang w:val="en-US"/>
        </w:rPr>
        <w:t>.</w:t>
      </w:r>
    </w:p>
    <w:p>
      <w:pPr>
        <w:pStyle w:val="8"/>
        <w:numPr>
          <w:numId w:val="0"/>
        </w:numPr>
        <w:tabs>
          <w:tab w:val="left" w:pos="8647"/>
        </w:tabs>
        <w:ind w:left="284" w:leftChars="0" w:right="191"/>
        <w:jc w:val="both"/>
        <w:rPr>
          <w:rFonts w:hint="default"/>
          <w:b/>
          <w:sz w:val="24"/>
          <w:szCs w:val="24"/>
          <w:lang w:val="en-US"/>
        </w:rPr>
      </w:pPr>
      <w:r>
        <w:rPr>
          <w:rFonts w:hint="default"/>
          <w:b/>
          <w:sz w:val="24"/>
          <w:szCs w:val="24"/>
          <w:lang w:val="en-US"/>
        </w:rPr>
        <w:t>3. Penentuan Persyaratan Kapasitas Kelembagaan di Guatemala</w:t>
      </w:r>
    </w:p>
    <w:p>
      <w:pPr>
        <w:pStyle w:val="8"/>
        <w:numPr>
          <w:numId w:val="0"/>
        </w:numPr>
        <w:tabs>
          <w:tab w:val="left" w:pos="8647"/>
        </w:tabs>
        <w:ind w:left="284" w:leftChars="0" w:right="191"/>
        <w:jc w:val="both"/>
        <w:rPr>
          <w:rFonts w:hint="default"/>
          <w:b/>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Casa del Migrante, satu-satunya tempat penampungan yang dikelola gereja untuk penerima pemindahan di bawah perjanjian ini hanya memiliki 50 tempat tidur. Tempat penampungan ini terkadang menampung lebih banyak termasuk imigran dari negara lain yang transit melalui Guatemala, anggota karavan, dan beberapa orang Guatemala yang dideportasi (Aljazeera. 2022).</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Casa del Migrante memberi perawatan kemanusiaan dasar dan memberi mereka akses ke pengacara dari Refugio de la Ninez dan Pastoral de Movilidad Humana (</w:t>
      </w:r>
      <w:r>
        <w:rPr>
          <w:rFonts w:hint="default"/>
          <w:i/>
          <w:iCs/>
          <w:sz w:val="24"/>
          <w:szCs w:val="24"/>
          <w:lang w:val="en-US"/>
        </w:rPr>
        <w:t>Pastoral for Human Mobility</w:t>
      </w:r>
      <w:r>
        <w:rPr>
          <w:rFonts w:hint="default"/>
          <w:sz w:val="24"/>
          <w:szCs w:val="24"/>
          <w:lang w:val="en-US"/>
        </w:rPr>
        <w:t>), yaitu organisasi lain yang dikelola oleh gereja yang memberikan dukungan hukum. Refugio de la Ninez dan Casa del Migrante, keduanya memiliki tugas yang melebihi membantu para penerima pemindahan di bawah perjanjian ini. Refugio de la Ninez dan Casa del Migrante, menerima sedikit dana dari pemerintah dan sebagian besar bergantung pada penyandang dana swasta dalam melaksanakan pekerjaannya (Yael Schacher et al. 2020).</w:t>
      </w:r>
    </w:p>
    <w:p>
      <w:pPr>
        <w:pStyle w:val="8"/>
        <w:tabs>
          <w:tab w:val="left" w:pos="8647"/>
        </w:tabs>
        <w:ind w:left="0" w:leftChars="0" w:right="191" w:firstLine="0" w:firstLineChars="0"/>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Kedutaan AS untuk Guatemala juga melaporkan bahwa</w:t>
      </w:r>
      <w:r>
        <w:rPr>
          <w:rFonts w:hint="default"/>
          <w:i/>
          <w:iCs/>
          <w:sz w:val="24"/>
          <w:szCs w:val="24"/>
          <w:lang w:val="en-US"/>
        </w:rPr>
        <w:t xml:space="preserve"> Office of International Migration Relations</w:t>
      </w:r>
      <w:r>
        <w:rPr>
          <w:rFonts w:hint="default"/>
          <w:sz w:val="24"/>
          <w:szCs w:val="24"/>
          <w:lang w:val="en-US"/>
        </w:rPr>
        <w:t xml:space="preserve"> (ORMI), yaitu suatu unit khusus di IGM untuk pemrosesan klaim suaka hanya memiliki petugas yang terdiri dari tiga pekerja sosial, tiga penyelidik, dan satu pengawas. Kedutaan AS untuk Guatemala memperkirakan bahwa ORMI memiliki kemampuan untuk memproses 100 hingga 150 klaim per tahun pada saat tumpukan kasus mencapai sekitar 400 kasus. Pada akhir Maret 2020, tumpukan kasus telah berkembang menjadi 713 kasus, meningkat sebanyak 78%.</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 xml:space="preserve">Selain itu, kurangnya kapasitas teknis di Guatemala juga menjadi perhatian serius. Orang yang mencari suaka harus mengajukan aplikasi suaka ke ORMI, yang kemudian diteruskan untuk ditinjau oleh </w:t>
      </w:r>
      <w:r>
        <w:rPr>
          <w:rFonts w:hint="default"/>
          <w:i/>
          <w:iCs/>
          <w:sz w:val="24"/>
          <w:szCs w:val="24"/>
          <w:lang w:val="en-US"/>
        </w:rPr>
        <w:t>National Refugee Comission</w:t>
      </w:r>
      <w:r>
        <w:rPr>
          <w:rFonts w:hint="default"/>
          <w:sz w:val="24"/>
          <w:szCs w:val="24"/>
          <w:lang w:val="en-US"/>
        </w:rPr>
        <w:t xml:space="preserve"> (CONARE), yaitu badan penasehat yang bertugas memeriksa aplikasi suaka dan mengeluarkan rekomendasi, opini, dan saran. Meskipun Direktur Jendral Migrasi adalah perwakilan dari UNHCR juga merupakan anggota CONARE, mereka hanya dapat memberi nasehat dan tidak memiliki kewenangan untuk memberikan rekomendasi akhir mengenai status pengungsi (Yael Schacher et al. 2020).</w:t>
      </w:r>
    </w:p>
    <w:p>
      <w:pPr>
        <w:pStyle w:val="8"/>
        <w:tabs>
          <w:tab w:val="left" w:pos="8647"/>
        </w:tabs>
        <w:ind w:left="0" w:leftChars="0" w:right="191" w:firstLine="0" w:firstLineChars="0"/>
        <w:jc w:val="both"/>
        <w:rPr>
          <w:rFonts w:hint="default"/>
          <w:sz w:val="24"/>
          <w:szCs w:val="24"/>
          <w:lang w:val="en-US"/>
        </w:rPr>
      </w:pPr>
      <w:r>
        <w:rPr>
          <w:rFonts w:hint="default"/>
          <w:sz w:val="24"/>
          <w:szCs w:val="24"/>
          <w:lang w:val="en-US"/>
        </w:rPr>
        <w:tab/>
      </w:r>
    </w:p>
    <w:p>
      <w:pPr>
        <w:pStyle w:val="8"/>
        <w:tabs>
          <w:tab w:val="left" w:pos="8647"/>
        </w:tabs>
        <w:ind w:left="284" w:right="191" w:firstLine="567"/>
        <w:jc w:val="both"/>
        <w:rPr>
          <w:rFonts w:hint="default"/>
          <w:sz w:val="24"/>
          <w:szCs w:val="24"/>
          <w:lang w:val="en-US"/>
        </w:rPr>
        <w:sectPr>
          <w:footerReference r:id="rId27" w:type="default"/>
          <w:footerReference r:id="rId28" w:type="even"/>
          <w:pgSz w:w="12240" w:h="15840"/>
          <w:pgMar w:top="1701" w:right="1701" w:bottom="1701" w:left="1701" w:header="709" w:footer="709" w:gutter="0"/>
          <w:pgNumType w:fmt="decimal" w:start="164"/>
          <w:cols w:space="720" w:num="1"/>
          <w:docGrid w:linePitch="360" w:charSpace="0"/>
        </w:sectPr>
      </w:pPr>
    </w:p>
    <w:p>
      <w:pPr>
        <w:pStyle w:val="8"/>
        <w:tabs>
          <w:tab w:val="left" w:pos="8647"/>
        </w:tabs>
        <w:ind w:left="284" w:right="191" w:firstLine="567"/>
        <w:jc w:val="both"/>
        <w:rPr>
          <w:rFonts w:hint="default"/>
          <w:sz w:val="24"/>
          <w:szCs w:val="24"/>
          <w:lang w:val="en-US"/>
        </w:rPr>
      </w:pPr>
      <w:r>
        <w:rPr>
          <w:rFonts w:hint="default"/>
          <w:sz w:val="24"/>
          <w:szCs w:val="24"/>
          <w:lang w:val="en-US"/>
        </w:rPr>
        <w:t xml:space="preserve">AS melanggar 2 ayat bagian pasal 7 dalam perjanjian Safe Third Country. Ayat pertama, petugas DHS tidak mempertimbangkan terlebih dulu apakah penerima pemindahan ini takut akan penganiayaan atau penyiksaan di Guatemala ketika mereka dipindahkan ke negara tersebut. Ayat ketiga, dalam perjanjian tersebut menyebutkan bahwa AS berencana bekerjasama untuk memperkuat kapasitas kelembagaan di Guatemala. Hal ini juga tidak sesuai dengan implementasinya karena tempat penampungan untuk penerima pemindahan yaitu Casa del Migrante dan Refugio de la Ninez merupakan organisasi masyarakat sipil non pemerintah yang bersifat sukarela, yang sebagian besar bergantung pada penyandang dana swasta dalam melakukan pekerjaannya. </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 xml:space="preserve">Pada isi perjanjian, di dalam pasal 8 bagian 5 memposisikan Guatemala menjadi lemah yang menyatakan bahwa “Tidak ada dalam perjanjian ini yang dapat ditafsirkan sedemikian rupa sehingga mewajibkan para pihak untuk mencairkan atau mewajibkan dana.” Padahal seperti yang telah dijelaskan sebelumnya bahwa Guatemala kekurangan sumber daya dan harus mengurus pengungsi dan pencari suaka penerima pemindahan yang dipindahkan ke wilayahnya. </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Kemudian karena adanya pandemi covid-19 menyebabkan pemerintahan Guatemala mengumumkan pemberhentian sementara perjanjian ini pada 17 Maret 2020. DHS juga membuat aturan perbatasan Control of Communicable Diseases (CDC) yang dilakukan dengan cara deportasi standar terhadap para imigran. Sebanyak 63.000 orang dideportasi dan 140.000 pencari suaka diusir, adapun 8.000 pencari suaka yang diusir adalah anak di bawah umur tanpa pendamping, antara Maret hingga Oktober 2020 (NISGUA. 2021).</w:t>
      </w:r>
    </w:p>
    <w:p>
      <w:pPr>
        <w:ind w:left="284" w:right="191" w:firstLine="425"/>
        <w:jc w:val="both"/>
      </w:pPr>
      <w:r>
        <w:rPr>
          <w:sz w:val="24"/>
          <w:szCs w:val="24"/>
        </w:rPr>
        <w:t>Berdasarkan implementasinya diatas, menurut pemerintahan Biden perjanjian ini dilakukan dengan itikad buruk serta tidak memberikan perlindungan bagi pengungsi dan pencari suaka dari El Salvador dan Honduras. Sehingga kemudian perjanjian ini diakhiri oleh pemerintahan Biden pada 6 Februari 2021</w:t>
      </w:r>
      <w:r>
        <w:rPr>
          <w:rFonts w:hint="default"/>
          <w:sz w:val="24"/>
          <w:szCs w:val="24"/>
          <w:lang w:val="en-US"/>
        </w:rPr>
        <w:t xml:space="preserve"> </w:t>
      </w:r>
      <w:r>
        <w:rPr>
          <w:rFonts w:hint="default"/>
          <w:i w:val="0"/>
          <w:iCs w:val="0"/>
          <w:sz w:val="24"/>
          <w:szCs w:val="24"/>
          <w:lang w:val="en-US"/>
        </w:rPr>
        <w:t>(</w:t>
      </w:r>
      <w:r>
        <w:rPr>
          <w:rFonts w:hint="default"/>
          <w:i/>
          <w:iCs/>
          <w:sz w:val="24"/>
          <w:szCs w:val="24"/>
          <w:lang w:val="en-US"/>
        </w:rPr>
        <w:t xml:space="preserve">Immigration impact. </w:t>
      </w:r>
      <w:r>
        <w:rPr>
          <w:rFonts w:hint="default"/>
          <w:i w:val="0"/>
          <w:iCs w:val="0"/>
          <w:sz w:val="24"/>
          <w:szCs w:val="24"/>
          <w:lang w:val="en-US"/>
        </w:rPr>
        <w:t>2021).</w:t>
      </w:r>
    </w:p>
    <w:p>
      <w:pPr>
        <w:pStyle w:val="8"/>
        <w:tabs>
          <w:tab w:val="left" w:pos="8647"/>
        </w:tabs>
        <w:ind w:left="284" w:right="191"/>
        <w:jc w:val="both"/>
        <w:rPr>
          <w:b/>
          <w:sz w:val="24"/>
          <w:szCs w:val="24"/>
        </w:rPr>
      </w:pPr>
      <w:r>
        <w:rPr>
          <w:b/>
          <w:sz w:val="24"/>
          <w:szCs w:val="24"/>
        </w:rPr>
        <w:t>Kesimpulan</w:t>
      </w:r>
    </w:p>
    <w:p>
      <w:pPr>
        <w:pStyle w:val="8"/>
        <w:tabs>
          <w:tab w:val="left" w:pos="8647"/>
        </w:tabs>
        <w:ind w:left="284" w:right="191"/>
        <w:jc w:val="both"/>
        <w:rPr>
          <w:b/>
          <w:sz w:val="24"/>
          <w:szCs w:val="24"/>
        </w:rPr>
      </w:pPr>
    </w:p>
    <w:p>
      <w:pPr>
        <w:pStyle w:val="8"/>
        <w:tabs>
          <w:tab w:val="left" w:pos="8647"/>
        </w:tabs>
        <w:ind w:left="284" w:right="191" w:firstLine="567"/>
        <w:jc w:val="both"/>
        <w:rPr>
          <w:rFonts w:hint="default"/>
          <w:sz w:val="24"/>
          <w:szCs w:val="24"/>
          <w:lang w:val="en-US"/>
        </w:rPr>
        <w:sectPr>
          <w:footerReference r:id="rId29" w:type="default"/>
          <w:footerReference r:id="rId30" w:type="even"/>
          <w:pgSz w:w="12240" w:h="15840"/>
          <w:pgMar w:top="1701" w:right="1701" w:bottom="1701" w:left="1701" w:header="709" w:footer="709" w:gutter="0"/>
          <w:pgNumType w:fmt="decimal" w:start="165"/>
          <w:cols w:space="720" w:num="1"/>
          <w:docGrid w:linePitch="360" w:charSpace="0"/>
        </w:sectPr>
      </w:pPr>
      <w:r>
        <w:rPr>
          <w:rFonts w:hint="default"/>
          <w:sz w:val="24"/>
          <w:szCs w:val="24"/>
          <w:lang w:val="en-US"/>
        </w:rPr>
        <w:t xml:space="preserve">Implementasi Perjanjian </w:t>
      </w:r>
      <w:r>
        <w:rPr>
          <w:rFonts w:hint="default"/>
          <w:i/>
          <w:iCs/>
          <w:sz w:val="24"/>
          <w:szCs w:val="24"/>
          <w:lang w:val="en-US"/>
        </w:rPr>
        <w:t>Safe Third Country</w:t>
      </w:r>
      <w:r>
        <w:rPr>
          <w:rFonts w:hint="default"/>
          <w:sz w:val="24"/>
          <w:szCs w:val="24"/>
          <w:lang w:val="en-US"/>
        </w:rPr>
        <w:t xml:space="preserve"> antara AS dan Guatemala menunjukkan bahwa program kerja yang dijalankan tidak efektif karena AS melanggar 2 ayat bagian pasal 7 dalam perjanjian Safe Third Country. Ayat pertama, petugas DHS tidak mempertimbangkan terlebih dulu apakah penerima pemindahan ini takut akan penganiayaan atau penyiksaan di Guatemala. Ayat ketiga, AS tidak bekerjasama untuk memperkuat kapasitas kelembagaan di Guatemala karena tempat penampungan Casa del Migrante dan Refugio de la Ninez merupakan organisasi masyarakat sipil non </w:t>
      </w:r>
    </w:p>
    <w:p>
      <w:pPr>
        <w:pStyle w:val="8"/>
        <w:tabs>
          <w:tab w:val="left" w:pos="8647"/>
        </w:tabs>
        <w:ind w:left="284" w:right="191" w:firstLine="567"/>
        <w:jc w:val="both"/>
        <w:rPr>
          <w:rFonts w:hint="default"/>
          <w:sz w:val="24"/>
          <w:szCs w:val="24"/>
          <w:lang w:val="en-US"/>
        </w:rPr>
      </w:pPr>
      <w:r>
        <w:rPr>
          <w:rFonts w:hint="default"/>
          <w:sz w:val="24"/>
          <w:szCs w:val="24"/>
          <w:lang w:val="en-US"/>
        </w:rPr>
        <w:t xml:space="preserve">pemerintah yang bersifat sukarela, yang sebagian besar bergantung pada penyandang dana swasta dalam melakukan pekerjaannya. </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rFonts w:hint="default"/>
          <w:sz w:val="24"/>
          <w:szCs w:val="24"/>
          <w:lang w:val="en-US"/>
        </w:rPr>
      </w:pPr>
      <w:r>
        <w:rPr>
          <w:rFonts w:hint="default"/>
          <w:sz w:val="24"/>
          <w:szCs w:val="24"/>
          <w:lang w:val="en-US"/>
        </w:rPr>
        <w:t xml:space="preserve">Pada isi perjanjian, di dalam pasal 8 bagian 5 memposisikan Guatemala menjadi lemah yang menyatakan bahwa dalam perjanjian </w:t>
      </w:r>
      <w:r>
        <w:rPr>
          <w:rFonts w:hint="default"/>
          <w:i/>
          <w:iCs/>
          <w:sz w:val="24"/>
          <w:szCs w:val="24"/>
          <w:lang w:val="en-US"/>
        </w:rPr>
        <w:t>Safe Third Country</w:t>
      </w:r>
      <w:r>
        <w:rPr>
          <w:rFonts w:hint="default"/>
          <w:sz w:val="24"/>
          <w:szCs w:val="24"/>
          <w:lang w:val="en-US"/>
        </w:rPr>
        <w:t xml:space="preserve"> tidak mewajibkan para pihak untuk mencairkan atau mewajibkan dana. Oleh karena itu, masih terdapat hambatan dalam kerangka hukum, kurangnya kapasitas teknis dalam memproses klaim suaka dan kurangnya petugas suaka yang memenuhi syarat.</w:t>
      </w:r>
    </w:p>
    <w:p>
      <w:pPr>
        <w:pStyle w:val="8"/>
        <w:tabs>
          <w:tab w:val="left" w:pos="8647"/>
        </w:tabs>
        <w:ind w:left="284" w:right="191" w:firstLine="567"/>
        <w:jc w:val="both"/>
        <w:rPr>
          <w:rFonts w:hint="default"/>
          <w:sz w:val="24"/>
          <w:szCs w:val="24"/>
          <w:lang w:val="en-US"/>
        </w:rPr>
      </w:pPr>
    </w:p>
    <w:p>
      <w:pPr>
        <w:pStyle w:val="8"/>
        <w:tabs>
          <w:tab w:val="left" w:pos="8647"/>
        </w:tabs>
        <w:ind w:left="284" w:right="191" w:firstLine="567"/>
        <w:jc w:val="both"/>
        <w:rPr>
          <w:sz w:val="24"/>
          <w:szCs w:val="24"/>
        </w:rPr>
      </w:pPr>
      <w:r>
        <w:rPr>
          <w:rFonts w:hint="default"/>
          <w:sz w:val="24"/>
          <w:szCs w:val="24"/>
          <w:lang w:val="en-US"/>
        </w:rPr>
        <w:t xml:space="preserve">Kurangnya kapasitas teknis di Guatemala dalam mengurus aplikasi suaka juga menyebabkan perjanjian ini kurang berjalan efektif, dimana CONARE hanya dapat memberi nasehat dan tidak dapat memberikan rekomendasi akhir mengenai status pengungsi. Adanya pandemi Covid-19 juga ikut mempengaruhi implementasi dari perjanjian ini sehingga kurang berjalan efektif. </w:t>
      </w:r>
    </w:p>
    <w:p>
      <w:pPr>
        <w:tabs>
          <w:tab w:val="left" w:pos="8647"/>
        </w:tabs>
        <w:ind w:right="191"/>
        <w:jc w:val="both"/>
        <w:rPr>
          <w:b/>
          <w:sz w:val="24"/>
          <w:szCs w:val="24"/>
        </w:rPr>
      </w:pPr>
      <w:r>
        <w:rPr>
          <w:b/>
          <w:sz w:val="24"/>
          <w:szCs w:val="24"/>
        </w:rPr>
        <w:t>Daftar Pustaka</w:t>
      </w:r>
    </w:p>
    <w:p>
      <w:pPr>
        <w:tabs>
          <w:tab w:val="left" w:pos="8647"/>
        </w:tabs>
        <w:ind w:left="993" w:right="191" w:hanging="993"/>
        <w:jc w:val="both"/>
        <w:rPr>
          <w:sz w:val="24"/>
          <w:szCs w:val="24"/>
        </w:rPr>
      </w:pPr>
      <w:r>
        <w:rPr>
          <w:i/>
          <w:iCs/>
          <w:sz w:val="24"/>
          <w:szCs w:val="24"/>
        </w:rPr>
        <w:t>AILA</w:t>
      </w:r>
      <w:r>
        <w:rPr>
          <w:sz w:val="24"/>
          <w:szCs w:val="24"/>
        </w:rPr>
        <w:t xml:space="preserve">, “DHS Notice of  Agreement Between US and Guatemala Regarding Protection Claims.” 20 November 2019, </w:t>
      </w:r>
      <w:r>
        <w:rPr>
          <w:sz w:val="24"/>
          <w:szCs w:val="24"/>
        </w:rPr>
        <w:fldChar w:fldCharType="begin"/>
      </w:r>
      <w:r>
        <w:rPr>
          <w:sz w:val="24"/>
          <w:szCs w:val="24"/>
        </w:rPr>
        <w:instrText xml:space="preserve"> HYPERLINK "https://www.aila.org/infonet/dhs-84-fr-64095-11-20-19?utm_source=Recent" </w:instrText>
      </w:r>
      <w:r>
        <w:rPr>
          <w:sz w:val="24"/>
          <w:szCs w:val="24"/>
        </w:rPr>
        <w:fldChar w:fldCharType="separate"/>
      </w:r>
      <w:r>
        <w:rPr>
          <w:rStyle w:val="7"/>
          <w:color w:val="auto"/>
          <w:sz w:val="24"/>
          <w:szCs w:val="24"/>
          <w:u w:val="none"/>
        </w:rPr>
        <w:t>https://www.aila.org/infonet/dhs-84-fr-64095-11-20-19?utm_source=Recent</w:t>
      </w:r>
      <w:r>
        <w:rPr>
          <w:sz w:val="24"/>
          <w:szCs w:val="24"/>
        </w:rPr>
        <w:fldChar w:fldCharType="end"/>
      </w:r>
      <w:r>
        <w:rPr>
          <w:sz w:val="24"/>
          <w:szCs w:val="24"/>
        </w:rPr>
        <w:t xml:space="preserve">%20Postings%20Alert&amp;amp;utm_medium=Email&amp;amp;utm_campaign=RP%20Daily </w:t>
      </w:r>
    </w:p>
    <w:p>
      <w:pPr>
        <w:pStyle w:val="3"/>
        <w:ind w:left="720" w:hanging="720" w:hangingChars="300"/>
        <w:contextualSpacing/>
        <w:jc w:val="both"/>
        <w:rPr>
          <w:rFonts w:hint="default"/>
          <w:i w:val="0"/>
          <w:iCs w:val="0"/>
          <w:sz w:val="24"/>
          <w:szCs w:val="24"/>
          <w:lang w:val="en-US"/>
        </w:rPr>
      </w:pPr>
      <w:r>
        <w:rPr>
          <w:rFonts w:hint="default"/>
          <w:i/>
          <w:iCs/>
          <w:sz w:val="24"/>
          <w:szCs w:val="24"/>
          <w:lang w:val="en-US"/>
        </w:rPr>
        <w:t>American Immigration Council,</w:t>
      </w:r>
      <w:r>
        <w:rPr>
          <w:rFonts w:hint="default"/>
          <w:i w:val="0"/>
          <w:iCs w:val="0"/>
          <w:sz w:val="24"/>
          <w:szCs w:val="24"/>
          <w:lang w:val="en-US"/>
        </w:rPr>
        <w:t xml:space="preserve"> “Understanding the Central American Refugee Crisis.” Februari 2016, https://www.americanimmigrationcouncil.org/research./understanding-central-american-refugee-crisis?_cf_chl_jschl_tk_=pmd_BFDWXtvkZx0vEZEeTsgN5.1Ww9uj2V.VnYTH4AOlhxk-1633507042-0-gqNtZGzNAICjcnBszQh9 </w:t>
      </w:r>
    </w:p>
    <w:p>
      <w:pPr>
        <w:pStyle w:val="3"/>
        <w:ind w:left="720" w:hanging="720" w:hangingChars="300"/>
        <w:contextualSpacing/>
        <w:jc w:val="both"/>
        <w:rPr>
          <w:rFonts w:hint="default"/>
          <w:i w:val="0"/>
          <w:iCs w:val="0"/>
          <w:sz w:val="24"/>
          <w:szCs w:val="24"/>
          <w:lang w:val="en-US"/>
        </w:rPr>
      </w:pPr>
    </w:p>
    <w:p>
      <w:pPr>
        <w:tabs>
          <w:tab w:val="left" w:pos="8647"/>
        </w:tabs>
        <w:ind w:left="993" w:right="191" w:hanging="993"/>
        <w:jc w:val="both"/>
        <w:rPr>
          <w:rFonts w:hint="default"/>
          <w:sz w:val="24"/>
          <w:szCs w:val="24"/>
          <w:lang w:val="en-US"/>
        </w:rPr>
      </w:pPr>
      <w:r>
        <w:rPr>
          <w:sz w:val="24"/>
          <w:szCs w:val="24"/>
        </w:rPr>
        <w:t>CNN Indonesia, “Meksiko Tolak Aturan Baru Pembatasan Suaka AS.” 22 Juli 2019, https://m.cnnindonesia.com/internasional/20190716023410-134-412430/meksiko-tolak-aturan-baru-pembatasan-suaka-as</w:t>
      </w:r>
      <w:r>
        <w:rPr>
          <w:rFonts w:hint="default"/>
          <w:sz w:val="24"/>
          <w:szCs w:val="24"/>
          <w:lang w:val="en-US"/>
        </w:rPr>
        <w:t xml:space="preserve"> </w:t>
      </w:r>
    </w:p>
    <w:p>
      <w:pPr>
        <w:tabs>
          <w:tab w:val="left" w:pos="8647"/>
        </w:tabs>
        <w:ind w:left="993" w:right="191" w:hanging="993"/>
        <w:jc w:val="both"/>
        <w:rPr>
          <w:sz w:val="24"/>
          <w:szCs w:val="24"/>
        </w:rPr>
      </w:pPr>
      <w:r>
        <w:rPr>
          <w:i/>
          <w:iCs/>
          <w:sz w:val="24"/>
          <w:szCs w:val="24"/>
        </w:rPr>
        <w:t xml:space="preserve">EveryCRSReport, </w:t>
      </w:r>
      <w:r>
        <w:rPr>
          <w:sz w:val="24"/>
          <w:szCs w:val="24"/>
        </w:rPr>
        <w:t>“Honduran Political Crisis, June 2009 - January 2010.” 22 April 2021, https://www.everycrsreport.com/reports/R41064.html</w:t>
      </w:r>
    </w:p>
    <w:p>
      <w:pPr>
        <w:tabs>
          <w:tab w:val="left" w:pos="8647"/>
        </w:tabs>
        <w:ind w:left="993" w:right="191" w:hanging="993"/>
        <w:jc w:val="both"/>
        <w:rPr>
          <w:rFonts w:hint="default"/>
          <w:sz w:val="24"/>
          <w:szCs w:val="24"/>
          <w:lang w:val="en-US"/>
        </w:rPr>
      </w:pPr>
      <w:r>
        <w:rPr>
          <w:rFonts w:hint="default"/>
          <w:sz w:val="24"/>
          <w:szCs w:val="24"/>
          <w:lang w:val="en-US"/>
        </w:rPr>
        <w:t>Lange, Gabriel de, “Migration From the Northern Triangle and the Obama/Trump Administration Policies.” 2020, https://www.unav.edu/web/global-affairs/detalle/-/blogs/migration-from-the-northern-triangle-and-the-obama-trump-administration-policies</w:t>
      </w:r>
    </w:p>
    <w:p>
      <w:pPr>
        <w:tabs>
          <w:tab w:val="left" w:pos="8647"/>
        </w:tabs>
        <w:ind w:left="993" w:right="191" w:hanging="993"/>
        <w:jc w:val="both"/>
        <w:rPr>
          <w:sz w:val="24"/>
          <w:szCs w:val="24"/>
        </w:rPr>
        <w:sectPr>
          <w:footerReference r:id="rId31" w:type="default"/>
          <w:footerReference r:id="rId32" w:type="even"/>
          <w:pgSz w:w="12240" w:h="15840"/>
          <w:pgMar w:top="1701" w:right="1701" w:bottom="1701" w:left="1701" w:header="709" w:footer="709" w:gutter="0"/>
          <w:pgNumType w:fmt="decimal" w:start="166"/>
          <w:cols w:space="720" w:num="1"/>
          <w:docGrid w:linePitch="360" w:charSpace="0"/>
        </w:sectPr>
      </w:pPr>
    </w:p>
    <w:p>
      <w:pPr>
        <w:tabs>
          <w:tab w:val="left" w:pos="8647"/>
        </w:tabs>
        <w:ind w:left="993" w:right="191" w:hanging="993"/>
        <w:jc w:val="both"/>
        <w:rPr>
          <w:sz w:val="24"/>
          <w:szCs w:val="24"/>
        </w:rPr>
      </w:pPr>
      <w:r>
        <w:rPr>
          <w:sz w:val="24"/>
          <w:szCs w:val="24"/>
        </w:rPr>
        <w:t>Holsti, K.J. Politik Internasional: Kerangka Untuk Analisis. Jakarta: Erlangga, 1993</w:t>
      </w:r>
    </w:p>
    <w:p>
      <w:pPr>
        <w:pStyle w:val="3"/>
        <w:ind w:left="720" w:hanging="720" w:hangingChars="300"/>
        <w:jc w:val="both"/>
        <w:rPr>
          <w:sz w:val="24"/>
          <w:szCs w:val="24"/>
        </w:rPr>
      </w:pPr>
      <w:r>
        <w:rPr>
          <w:i/>
          <w:iCs/>
          <w:sz w:val="24"/>
          <w:szCs w:val="24"/>
        </w:rPr>
        <w:t xml:space="preserve">Ilmu Pengetahuan Umum, </w:t>
      </w:r>
      <w:r>
        <w:rPr>
          <w:sz w:val="24"/>
          <w:szCs w:val="24"/>
        </w:rPr>
        <w:t xml:space="preserve">“Profil Negara Guatemala.” 17 Agustus 2021, https://ilmupengetahuanumum.com/profil-negara-guatemala/ </w:t>
      </w:r>
    </w:p>
    <w:p>
      <w:pPr>
        <w:pStyle w:val="3"/>
        <w:ind w:left="720" w:hanging="720" w:hangingChars="300"/>
        <w:jc w:val="both"/>
        <w:rPr>
          <w:sz w:val="24"/>
          <w:szCs w:val="24"/>
        </w:rPr>
      </w:pPr>
    </w:p>
    <w:p>
      <w:pPr>
        <w:tabs>
          <w:tab w:val="left" w:pos="8647"/>
        </w:tabs>
        <w:ind w:left="993" w:right="191" w:hanging="993"/>
        <w:jc w:val="both"/>
        <w:rPr>
          <w:sz w:val="24"/>
          <w:szCs w:val="24"/>
        </w:rPr>
      </w:pPr>
      <w:r>
        <w:rPr>
          <w:i/>
          <w:iCs/>
          <w:sz w:val="24"/>
          <w:szCs w:val="24"/>
        </w:rPr>
        <w:t>Immigration Impact</w:t>
      </w:r>
      <w:r>
        <w:rPr>
          <w:sz w:val="24"/>
          <w:szCs w:val="24"/>
        </w:rPr>
        <w:t>, “Biden Administration Ends ‘Safe Third Country’ Agreements” 8 Februari 2021, https://immigrationimpact.com/2021/02/08/safe-third-country-agreement-biden/#.YReZYRh8pPw</w:t>
      </w:r>
    </w:p>
    <w:p>
      <w:pPr>
        <w:tabs>
          <w:tab w:val="left" w:pos="8647"/>
        </w:tabs>
        <w:ind w:left="993" w:right="191" w:hanging="993"/>
        <w:jc w:val="both"/>
        <w:rPr>
          <w:sz w:val="24"/>
          <w:szCs w:val="24"/>
        </w:rPr>
      </w:pPr>
      <w:r>
        <w:rPr>
          <w:sz w:val="24"/>
          <w:szCs w:val="24"/>
        </w:rPr>
        <w:t xml:space="preserve">J. Trump, Donald, “Guatemala Has Decided to Break the Deal on Signing Safe Third Country Agreement.” 23 Juli 2019, https://mobile.twitter.com/realDonaldTrump/status/1153641907781873664?ref_src=twsrc%5Etfw%7Ctwcamp%5Etweetembed&amp;amp;ref_url=https%3A%2F%2Fd-335062722242073691.ampproject.net%2F2002251816300%2Fframe.html </w:t>
      </w:r>
    </w:p>
    <w:p>
      <w:pPr>
        <w:tabs>
          <w:tab w:val="left" w:pos="8647"/>
        </w:tabs>
        <w:ind w:left="993" w:right="191" w:hanging="993"/>
        <w:jc w:val="both"/>
        <w:rPr>
          <w:sz w:val="24"/>
          <w:szCs w:val="24"/>
        </w:rPr>
      </w:pPr>
      <w:r>
        <w:rPr>
          <w:sz w:val="24"/>
          <w:szCs w:val="24"/>
        </w:rPr>
        <w:t>Kusumohamidjojo, Budiono. Hubungan Internasional Kerangka Studi Analisis. Jakarta: Penerbit Binacipta, 1997</w:t>
      </w:r>
    </w:p>
    <w:p>
      <w:pPr>
        <w:pStyle w:val="3"/>
        <w:ind w:left="720" w:hanging="720" w:hangingChars="300"/>
        <w:contextualSpacing/>
        <w:jc w:val="both"/>
        <w:rPr>
          <w:sz w:val="24"/>
          <w:szCs w:val="24"/>
        </w:rPr>
      </w:pPr>
      <w:r>
        <w:rPr>
          <w:i/>
          <w:iCs/>
          <w:sz w:val="24"/>
          <w:szCs w:val="24"/>
        </w:rPr>
        <w:t xml:space="preserve">Macrotrends, </w:t>
      </w:r>
      <w:r>
        <w:rPr>
          <w:sz w:val="24"/>
          <w:szCs w:val="24"/>
        </w:rPr>
        <w:t xml:space="preserve">“El Salvador Murder/Homicide Rate 1994-2021.” 2019, https://www.macrotrends.net/countries/SLV/el-salvador/murder-homicide-rate </w:t>
      </w:r>
    </w:p>
    <w:p>
      <w:pPr>
        <w:pStyle w:val="3"/>
        <w:ind w:left="720" w:hanging="720" w:hangingChars="300"/>
        <w:contextualSpacing/>
        <w:jc w:val="both"/>
        <w:rPr>
          <w:sz w:val="24"/>
          <w:szCs w:val="24"/>
        </w:rPr>
      </w:pPr>
    </w:p>
    <w:p>
      <w:pPr>
        <w:pStyle w:val="3"/>
        <w:ind w:left="720" w:leftChars="0" w:hanging="720" w:hangingChars="300"/>
        <w:jc w:val="both"/>
        <w:rPr>
          <w:sz w:val="24"/>
          <w:szCs w:val="24"/>
        </w:rPr>
      </w:pPr>
      <w:r>
        <w:rPr>
          <w:i/>
          <w:iCs/>
          <w:sz w:val="24"/>
          <w:szCs w:val="24"/>
        </w:rPr>
        <w:t xml:space="preserve">Macrotrends, </w:t>
      </w:r>
      <w:r>
        <w:rPr>
          <w:rFonts w:hint="default"/>
          <w:i w:val="0"/>
          <w:iCs w:val="0"/>
          <w:sz w:val="24"/>
          <w:szCs w:val="24"/>
          <w:lang w:val="en-US"/>
        </w:rPr>
        <w:t>“</w:t>
      </w:r>
      <w:r>
        <w:rPr>
          <w:rFonts w:hint="default"/>
          <w:sz w:val="24"/>
          <w:szCs w:val="24"/>
          <w:lang w:val="en-US"/>
        </w:rPr>
        <w:t>Guatemala</w:t>
      </w:r>
      <w:r>
        <w:rPr>
          <w:sz w:val="24"/>
          <w:szCs w:val="24"/>
        </w:rPr>
        <w:t xml:space="preserve"> Murder/Homicide Rate 199</w:t>
      </w:r>
      <w:r>
        <w:rPr>
          <w:rFonts w:hint="default"/>
          <w:sz w:val="24"/>
          <w:szCs w:val="24"/>
          <w:lang w:val="en-US"/>
        </w:rPr>
        <w:t>2</w:t>
      </w:r>
      <w:r>
        <w:rPr>
          <w:sz w:val="24"/>
          <w:szCs w:val="24"/>
        </w:rPr>
        <w:t>-2021</w:t>
      </w:r>
      <w:r>
        <w:rPr>
          <w:rFonts w:hint="default"/>
          <w:sz w:val="24"/>
          <w:szCs w:val="24"/>
          <w:lang w:val="en-US"/>
        </w:rPr>
        <w:t>.”</w:t>
      </w:r>
      <w:r>
        <w:rPr>
          <w:sz w:val="24"/>
          <w:szCs w:val="24"/>
        </w:rPr>
        <w:t xml:space="preserve"> </w:t>
      </w:r>
      <w:r>
        <w:rPr>
          <w:rFonts w:hint="default"/>
          <w:sz w:val="24"/>
          <w:szCs w:val="24"/>
          <w:lang w:val="en-US"/>
        </w:rPr>
        <w:t xml:space="preserve">2019, </w:t>
      </w:r>
      <w:r>
        <w:rPr>
          <w:sz w:val="24"/>
          <w:szCs w:val="24"/>
        </w:rPr>
        <w:t>https://www.macrotrends.net/countries/</w:t>
      </w:r>
      <w:r>
        <w:rPr>
          <w:rFonts w:hint="default"/>
          <w:sz w:val="24"/>
          <w:szCs w:val="24"/>
          <w:lang w:val="en-US"/>
        </w:rPr>
        <w:t>GTM</w:t>
      </w:r>
      <w:r>
        <w:rPr>
          <w:sz w:val="24"/>
          <w:szCs w:val="24"/>
        </w:rPr>
        <w:t>/</w:t>
      </w:r>
      <w:r>
        <w:rPr>
          <w:rFonts w:hint="default"/>
          <w:sz w:val="24"/>
          <w:szCs w:val="24"/>
          <w:lang w:val="en-US"/>
        </w:rPr>
        <w:t>guatemala</w:t>
      </w:r>
      <w:r>
        <w:rPr>
          <w:sz w:val="24"/>
          <w:szCs w:val="24"/>
        </w:rPr>
        <w:t xml:space="preserve">/murder-homicide-rate </w:t>
      </w:r>
    </w:p>
    <w:p>
      <w:pPr>
        <w:pStyle w:val="3"/>
        <w:ind w:left="720" w:hanging="720" w:hangingChars="300"/>
        <w:contextualSpacing/>
        <w:jc w:val="both"/>
        <w:rPr>
          <w:sz w:val="24"/>
          <w:szCs w:val="24"/>
        </w:rPr>
      </w:pPr>
    </w:p>
    <w:p>
      <w:pPr>
        <w:pStyle w:val="3"/>
        <w:ind w:left="720" w:hanging="720" w:hangingChars="300"/>
        <w:contextualSpacing/>
        <w:jc w:val="both"/>
        <w:rPr>
          <w:sz w:val="24"/>
          <w:szCs w:val="24"/>
        </w:rPr>
      </w:pPr>
      <w:r>
        <w:rPr>
          <w:i/>
          <w:iCs/>
          <w:sz w:val="24"/>
          <w:szCs w:val="24"/>
        </w:rPr>
        <w:t xml:space="preserve">Macrotrends, </w:t>
      </w:r>
      <w:r>
        <w:rPr>
          <w:sz w:val="24"/>
          <w:szCs w:val="24"/>
        </w:rPr>
        <w:t>“Honduras Murder/Homicide Rate 1994-2021” 2019, https://www.macrotrends.net/countries/HND/honduras/murder-homicide-rate</w:t>
      </w:r>
    </w:p>
    <w:p>
      <w:pPr>
        <w:pStyle w:val="3"/>
        <w:ind w:left="720" w:hanging="720" w:hangingChars="300"/>
        <w:contextualSpacing/>
        <w:jc w:val="both"/>
        <w:rPr>
          <w:sz w:val="24"/>
          <w:szCs w:val="24"/>
        </w:rPr>
      </w:pPr>
    </w:p>
    <w:p>
      <w:pPr>
        <w:tabs>
          <w:tab w:val="left" w:pos="8647"/>
        </w:tabs>
        <w:ind w:left="993" w:right="191" w:hanging="993"/>
        <w:jc w:val="both"/>
        <w:rPr>
          <w:sz w:val="24"/>
          <w:szCs w:val="24"/>
        </w:rPr>
      </w:pPr>
      <w:r>
        <w:rPr>
          <w:sz w:val="24"/>
          <w:szCs w:val="24"/>
        </w:rPr>
        <w:t>MPI, “El Salvador: Civil War, Natural Disasters, and Gang Violence Drive Migration.”</w:t>
      </w:r>
      <w:r>
        <w:rPr>
          <w:rFonts w:hint="default"/>
          <w:sz w:val="24"/>
          <w:szCs w:val="24"/>
          <w:lang w:val="en-US"/>
        </w:rPr>
        <w:t xml:space="preserve"> </w:t>
      </w:r>
      <w:r>
        <w:rPr>
          <w:sz w:val="24"/>
          <w:szCs w:val="24"/>
        </w:rPr>
        <w:t xml:space="preserve">29 Agustus 2018, https://www.migrationpolicy.org/article/el-salvador-civil-war-natural-disasters-and-gang-violence-drive-migration </w:t>
      </w:r>
    </w:p>
    <w:p>
      <w:pPr>
        <w:pStyle w:val="3"/>
        <w:snapToGrid w:val="0"/>
        <w:ind w:left="720" w:leftChars="0" w:hanging="720" w:hangingChars="300"/>
        <w:jc w:val="both"/>
        <w:rPr>
          <w:rFonts w:hint="default"/>
          <w:sz w:val="24"/>
          <w:szCs w:val="24"/>
          <w:lang w:val="en-US"/>
        </w:rPr>
      </w:pPr>
      <w:r>
        <w:rPr>
          <w:rFonts w:hint="default"/>
          <w:i w:val="0"/>
          <w:iCs w:val="0"/>
          <w:sz w:val="24"/>
          <w:szCs w:val="24"/>
          <w:lang w:val="en-US"/>
        </w:rPr>
        <w:t>MPI</w:t>
      </w:r>
      <w:r>
        <w:rPr>
          <w:i/>
          <w:iCs/>
          <w:sz w:val="24"/>
          <w:szCs w:val="24"/>
        </w:rPr>
        <w:t xml:space="preserve">, </w:t>
      </w:r>
      <w:r>
        <w:rPr>
          <w:rFonts w:hint="default"/>
          <w:i w:val="0"/>
          <w:iCs w:val="0"/>
          <w:sz w:val="24"/>
          <w:szCs w:val="24"/>
          <w:lang w:val="en-US"/>
        </w:rPr>
        <w:t>“</w:t>
      </w:r>
      <w:r>
        <w:rPr>
          <w:rFonts w:hint="default"/>
          <w:sz w:val="24"/>
          <w:szCs w:val="24"/>
          <w:lang w:val="en-US"/>
        </w:rPr>
        <w:t xml:space="preserve">Guatemalan Migration in Times of Civil War and Post-War Challenges.” 27 Maret 2013, </w:t>
      </w:r>
      <w:r>
        <w:rPr>
          <w:sz w:val="24"/>
          <w:szCs w:val="24"/>
        </w:rPr>
        <w:t>https://www.migrationpolicy.org/article/</w:t>
      </w:r>
      <w:r>
        <w:rPr>
          <w:rFonts w:hint="default"/>
          <w:sz w:val="24"/>
          <w:szCs w:val="24"/>
          <w:lang w:val="en-US"/>
        </w:rPr>
        <w:t>guatemalan-migration-times-civil-war-and-post-war-challenges</w:t>
      </w:r>
    </w:p>
    <w:p>
      <w:pPr>
        <w:pStyle w:val="3"/>
        <w:snapToGrid w:val="0"/>
        <w:ind w:left="720" w:leftChars="0" w:hanging="720" w:hangingChars="300"/>
        <w:jc w:val="both"/>
        <w:rPr>
          <w:rFonts w:hint="default"/>
          <w:sz w:val="24"/>
          <w:szCs w:val="24"/>
          <w:lang w:val="en-US"/>
        </w:rPr>
      </w:pPr>
    </w:p>
    <w:p>
      <w:pPr>
        <w:tabs>
          <w:tab w:val="left" w:pos="8647"/>
        </w:tabs>
        <w:ind w:left="993" w:right="191" w:hanging="993"/>
        <w:jc w:val="both"/>
        <w:rPr>
          <w:sz w:val="24"/>
          <w:szCs w:val="24"/>
        </w:rPr>
      </w:pPr>
      <w:r>
        <w:rPr>
          <w:sz w:val="24"/>
          <w:szCs w:val="24"/>
        </w:rPr>
        <w:t>MPI, “Honduras: The Perils of Remittance Dependence and Clandestine Migration.” 11 April 2013, https://www.migrationpolicy.org/article/honduras-perils-remittance-dependence-and-clandestine-migration</w:t>
      </w:r>
    </w:p>
    <w:p>
      <w:pPr>
        <w:tabs>
          <w:tab w:val="left" w:pos="8647"/>
        </w:tabs>
        <w:ind w:left="993" w:right="191" w:hanging="993"/>
        <w:jc w:val="both"/>
        <w:rPr>
          <w:sz w:val="24"/>
          <w:szCs w:val="24"/>
        </w:rPr>
      </w:pPr>
      <w:r>
        <w:rPr>
          <w:sz w:val="24"/>
          <w:szCs w:val="24"/>
        </w:rPr>
        <w:t>MPI, “Immigrants in the United States and the Current Economic Crisis” April 2009, https://www.migrationpolicy.org/article/immigrants-united-states-and-current-economic-crisis</w:t>
      </w:r>
    </w:p>
    <w:p>
      <w:pPr>
        <w:tabs>
          <w:tab w:val="left" w:pos="8647"/>
        </w:tabs>
        <w:ind w:left="993" w:right="191" w:hanging="993"/>
        <w:jc w:val="both"/>
        <w:rPr>
          <w:sz w:val="24"/>
          <w:szCs w:val="24"/>
        </w:rPr>
        <w:sectPr>
          <w:footerReference r:id="rId33" w:type="default"/>
          <w:footerReference r:id="rId34" w:type="even"/>
          <w:pgSz w:w="12240" w:h="15840"/>
          <w:pgMar w:top="1701" w:right="1701" w:bottom="1701" w:left="1701" w:header="709" w:footer="709" w:gutter="0"/>
          <w:pgNumType w:fmt="decimal" w:start="167"/>
          <w:cols w:space="720" w:num="1"/>
          <w:docGrid w:linePitch="360" w:charSpace="0"/>
        </w:sectPr>
      </w:pPr>
    </w:p>
    <w:p>
      <w:pPr>
        <w:tabs>
          <w:tab w:val="left" w:pos="8647"/>
        </w:tabs>
        <w:ind w:left="993" w:right="191" w:hanging="993"/>
        <w:jc w:val="both"/>
        <w:rPr>
          <w:sz w:val="24"/>
          <w:szCs w:val="24"/>
        </w:rPr>
      </w:pPr>
      <w:r>
        <w:rPr>
          <w:sz w:val="24"/>
          <w:szCs w:val="24"/>
        </w:rPr>
        <w:t xml:space="preserve">NISGUA, </w:t>
      </w:r>
      <w:r>
        <w:rPr>
          <w:rFonts w:hint="default"/>
          <w:sz w:val="24"/>
          <w:szCs w:val="24"/>
          <w:lang w:val="en-US"/>
        </w:rPr>
        <w:t>“</w:t>
      </w:r>
      <w:r>
        <w:rPr>
          <w:sz w:val="24"/>
          <w:szCs w:val="24"/>
        </w:rPr>
        <w:t>No Asylum Cooperative Agreements with Central America</w:t>
      </w:r>
      <w:r>
        <w:rPr>
          <w:rFonts w:hint="default"/>
          <w:sz w:val="24"/>
          <w:szCs w:val="24"/>
          <w:lang w:val="en-US"/>
        </w:rPr>
        <w:t>.”</w:t>
      </w:r>
      <w:r>
        <w:rPr>
          <w:sz w:val="24"/>
          <w:szCs w:val="24"/>
        </w:rPr>
        <w:t xml:space="preserve"> </w:t>
      </w:r>
      <w:r>
        <w:rPr>
          <w:rFonts w:hint="default"/>
          <w:sz w:val="24"/>
          <w:szCs w:val="24"/>
          <w:lang w:val="en-US"/>
        </w:rPr>
        <w:t xml:space="preserve">2021, </w:t>
      </w:r>
      <w:r>
        <w:rPr>
          <w:sz w:val="24"/>
          <w:szCs w:val="24"/>
        </w:rPr>
        <w:t xml:space="preserve">https://nisgua.org/portofolio-items/safe-third-country/ </w:t>
      </w:r>
    </w:p>
    <w:p>
      <w:pPr>
        <w:tabs>
          <w:tab w:val="left" w:pos="8647"/>
        </w:tabs>
        <w:ind w:left="993" w:right="191" w:hanging="993"/>
        <w:jc w:val="both"/>
        <w:rPr>
          <w:sz w:val="24"/>
          <w:szCs w:val="24"/>
        </w:rPr>
      </w:pPr>
      <w:r>
        <w:rPr>
          <w:rFonts w:hint="default"/>
          <w:i/>
          <w:iCs/>
          <w:sz w:val="24"/>
          <w:szCs w:val="24"/>
          <w:lang w:val="en-US"/>
        </w:rPr>
        <w:t>Pastoral de Movilidad Humana</w:t>
      </w:r>
      <w:r>
        <w:rPr>
          <w:rFonts w:hint="default"/>
          <w:sz w:val="24"/>
          <w:szCs w:val="24"/>
          <w:lang w:val="en-US"/>
        </w:rPr>
        <w:t xml:space="preserve">, “Mision.”  https://movilidadhumana.com/sobre-nosotros/mision/ </w:t>
      </w:r>
    </w:p>
    <w:p>
      <w:pPr>
        <w:tabs>
          <w:tab w:val="left" w:pos="8647"/>
        </w:tabs>
        <w:ind w:left="993" w:right="191" w:hanging="993"/>
        <w:jc w:val="both"/>
        <w:rPr>
          <w:rFonts w:hint="default"/>
          <w:sz w:val="24"/>
          <w:szCs w:val="24"/>
          <w:lang w:val="en-US"/>
        </w:rPr>
      </w:pPr>
      <w:r>
        <w:rPr>
          <w:rFonts w:hint="default"/>
          <w:sz w:val="24"/>
          <w:szCs w:val="24"/>
          <w:lang w:val="en-US"/>
        </w:rPr>
        <w:t>Sandra Cuffe, “Prominent Guatemala Migrant Shelter Receives Threats: Director.” 22 Jnuari 2022,  https://www.aljazeera.com/news/2020/1/22/prominent-guatemala-migrant-shelter-receives-threats-director pada 19 Februari 2022</w:t>
      </w:r>
    </w:p>
    <w:p>
      <w:pPr>
        <w:tabs>
          <w:tab w:val="left" w:pos="8647"/>
        </w:tabs>
        <w:ind w:left="993" w:right="191" w:hanging="993"/>
        <w:jc w:val="both"/>
        <w:rPr>
          <w:rFonts w:hint="default"/>
          <w:sz w:val="24"/>
          <w:szCs w:val="24"/>
          <w:lang w:val="en-US"/>
        </w:rPr>
      </w:pPr>
      <w:r>
        <w:rPr>
          <w:sz w:val="24"/>
          <w:szCs w:val="24"/>
        </w:rPr>
        <w:t>Schacher, Yael et al., “Deportation with a Layover Failure of Protection under the US-Guatemala Asylum Cooperative Agreement.” 19 Mei 2020, https://www.hrw.org/report/2020/05/19/deportation-layover/failure-protection-under-us-guatemala-asylum-cooperative</w:t>
      </w:r>
    </w:p>
    <w:p>
      <w:pPr>
        <w:tabs>
          <w:tab w:val="left" w:pos="8647"/>
        </w:tabs>
        <w:ind w:left="993" w:right="191" w:hanging="993"/>
        <w:jc w:val="both"/>
        <w:rPr>
          <w:sz w:val="24"/>
          <w:szCs w:val="24"/>
        </w:rPr>
      </w:pPr>
      <w:r>
        <w:rPr>
          <w:rFonts w:hint="default"/>
          <w:i/>
          <w:iCs/>
          <w:sz w:val="24"/>
          <w:szCs w:val="24"/>
          <w:lang w:val="en-US"/>
        </w:rPr>
        <w:t>The White House</w:t>
      </w:r>
      <w:r>
        <w:rPr>
          <w:rFonts w:hint="default"/>
          <w:i w:val="0"/>
          <w:iCs w:val="0"/>
          <w:sz w:val="24"/>
          <w:szCs w:val="24"/>
          <w:lang w:val="en-US"/>
        </w:rPr>
        <w:t>, “Our Comprehensive Response at The Border By the Numbers.” 15 September 2014, https://obamawhitehouse.archives.gov/blog/2014/09/15/our-comprehensive-response-border-numbers</w:t>
      </w:r>
    </w:p>
    <w:p>
      <w:pPr>
        <w:tabs>
          <w:tab w:val="left" w:pos="8647"/>
        </w:tabs>
        <w:ind w:left="993" w:right="191" w:hanging="993"/>
        <w:jc w:val="both"/>
        <w:rPr>
          <w:sz w:val="24"/>
          <w:szCs w:val="24"/>
        </w:rPr>
      </w:pPr>
      <w:r>
        <w:rPr>
          <w:sz w:val="24"/>
          <w:szCs w:val="24"/>
        </w:rPr>
        <w:t>UNHCR Indonesia, “Pengungsi.” 4 Juni 2017, https://www.unhcr.org/id/pengungsi</w:t>
      </w:r>
    </w:p>
    <w:p>
      <w:pPr>
        <w:tabs>
          <w:tab w:val="left" w:pos="8647"/>
        </w:tabs>
        <w:ind w:left="993" w:right="191" w:hanging="993"/>
        <w:jc w:val="both"/>
        <w:rPr>
          <w:sz w:val="24"/>
          <w:szCs w:val="24"/>
        </w:rPr>
      </w:pPr>
      <w:r>
        <w:rPr>
          <w:rFonts w:hint="default"/>
          <w:i/>
          <w:iCs/>
          <w:sz w:val="24"/>
          <w:szCs w:val="24"/>
          <w:lang w:val="en-US"/>
        </w:rPr>
        <w:t>US Customs and Border Protection</w:t>
      </w:r>
      <w:r>
        <w:rPr>
          <w:rFonts w:hint="default"/>
          <w:sz w:val="24"/>
          <w:szCs w:val="24"/>
          <w:lang w:val="en-US"/>
        </w:rPr>
        <w:t xml:space="preserve">, “National Standards on Transport, Escort, Detention, and Search.” Oktober 2015, https://www.cbp.gov/sites/default/files/assets/documents/2020-Feb/cbp-teds-policy-oktober2015.pdf </w:t>
      </w:r>
    </w:p>
    <w:p>
      <w:pPr>
        <w:tabs>
          <w:tab w:val="left" w:pos="8647"/>
        </w:tabs>
        <w:ind w:left="993" w:right="191" w:hanging="993"/>
        <w:jc w:val="both"/>
        <w:rPr>
          <w:sz w:val="24"/>
          <w:szCs w:val="24"/>
        </w:rPr>
      </w:pPr>
      <w:r>
        <w:rPr>
          <w:i/>
          <w:iCs/>
          <w:sz w:val="24"/>
          <w:szCs w:val="24"/>
        </w:rPr>
        <w:t>U.S Department of Homeland Security</w:t>
      </w:r>
      <w:r>
        <w:rPr>
          <w:sz w:val="24"/>
          <w:szCs w:val="24"/>
        </w:rPr>
        <w:t>, “Refugees and  Asylees: 2018.” Oktober 2019, https://www.dhs.gov/immigration-statistics/refugees-asylees</w:t>
      </w:r>
    </w:p>
    <w:p>
      <w:pPr>
        <w:pStyle w:val="3"/>
        <w:ind w:left="720" w:leftChars="0" w:hanging="720" w:hangingChars="300"/>
        <w:contextualSpacing/>
        <w:jc w:val="both"/>
        <w:rPr>
          <w:rFonts w:hint="default"/>
          <w:i w:val="0"/>
          <w:iCs w:val="0"/>
          <w:sz w:val="24"/>
          <w:szCs w:val="24"/>
          <w:lang w:val="en-US"/>
        </w:rPr>
      </w:pPr>
      <w:r>
        <w:rPr>
          <w:rFonts w:hint="default"/>
          <w:i/>
          <w:iCs/>
          <w:sz w:val="24"/>
          <w:szCs w:val="24"/>
          <w:lang w:val="en-US"/>
        </w:rPr>
        <w:t>U.S. Embassy in Guatemala, “</w:t>
      </w:r>
      <w:r>
        <w:rPr>
          <w:rFonts w:hint="default"/>
          <w:i w:val="0"/>
          <w:iCs w:val="0"/>
          <w:sz w:val="24"/>
          <w:szCs w:val="24"/>
          <w:lang w:val="en-US"/>
        </w:rPr>
        <w:t xml:space="preserve">Central America Regional Security Initiative.” Januari 2017, https://gt.usembassy.gov/our-relationship/policy-history/carsi/ </w:t>
      </w:r>
    </w:p>
    <w:p>
      <w:pPr>
        <w:pStyle w:val="3"/>
        <w:ind w:left="720" w:leftChars="0" w:hanging="720" w:hangingChars="300"/>
        <w:contextualSpacing/>
        <w:jc w:val="both"/>
        <w:rPr>
          <w:rFonts w:hint="default"/>
          <w:i w:val="0"/>
          <w:iCs w:val="0"/>
          <w:sz w:val="24"/>
          <w:szCs w:val="24"/>
          <w:lang w:val="en-US"/>
        </w:rPr>
      </w:pPr>
    </w:p>
    <w:p>
      <w:pPr>
        <w:tabs>
          <w:tab w:val="left" w:pos="8647"/>
        </w:tabs>
        <w:ind w:left="993" w:right="191" w:hanging="993"/>
        <w:jc w:val="both"/>
        <w:rPr>
          <w:sz w:val="24"/>
          <w:szCs w:val="24"/>
        </w:rPr>
      </w:pPr>
      <w:r>
        <w:rPr>
          <w:i/>
          <w:iCs/>
          <w:sz w:val="24"/>
          <w:szCs w:val="24"/>
        </w:rPr>
        <w:t>U.S. Embassy in Uruguay</w:t>
      </w:r>
      <w:r>
        <w:rPr>
          <w:sz w:val="24"/>
          <w:szCs w:val="24"/>
        </w:rPr>
        <w:t>, “Remarks by President Trump at Signing of Safe Third Country Agreement with Guatemala.” 29 Juli 2019, https://uy.usembassy.gov/remarks-by-president-trump-at-signing-of-safe-third-country-</w:t>
      </w:r>
      <w:bookmarkStart w:id="0" w:name="_GoBack"/>
      <w:bookmarkEnd w:id="0"/>
      <w:r>
        <w:rPr>
          <w:sz w:val="24"/>
          <w:szCs w:val="24"/>
        </w:rPr>
        <w:t>agreement-with-guatemala/</w:t>
      </w:r>
    </w:p>
    <w:p>
      <w:pPr>
        <w:tabs>
          <w:tab w:val="left" w:pos="869"/>
        </w:tabs>
        <w:ind w:left="993" w:right="191" w:hanging="993"/>
        <w:jc w:val="left"/>
        <w:rPr>
          <w:rFonts w:hint="default"/>
          <w:sz w:val="24"/>
          <w:szCs w:val="24"/>
          <w:lang w:val="en-US"/>
        </w:rPr>
      </w:pPr>
      <w:r>
        <w:rPr>
          <w:rFonts w:hint="default"/>
          <w:sz w:val="24"/>
          <w:szCs w:val="24"/>
          <w:lang w:val="en-US"/>
        </w:rPr>
        <w:t>Wilson Center, “Examining the Central America Regional Security Initiative (CARSI).” 2022, https://www.wilsoncenter.org/publication/examining-the-central-america-regional-security-initiative-carsi</w:t>
      </w:r>
    </w:p>
    <w:p>
      <w:pPr>
        <w:tabs>
          <w:tab w:val="left" w:pos="869"/>
        </w:tabs>
        <w:ind w:left="993" w:right="191" w:hanging="993"/>
        <w:jc w:val="left"/>
        <w:rPr>
          <w:rFonts w:hint="default"/>
          <w:sz w:val="24"/>
          <w:szCs w:val="24"/>
          <w:lang w:val="en-US"/>
        </w:rPr>
      </w:pPr>
    </w:p>
    <w:sectPr>
      <w:footerReference r:id="rId35" w:type="default"/>
      <w:footerReference r:id="rId36" w:type="even"/>
      <w:pgSz w:w="12240" w:h="15840"/>
      <w:pgMar w:top="1701" w:right="1701" w:bottom="1701" w:left="1701" w:header="709" w:footer="709" w:gutter="0"/>
      <w:pgNumType w:fmt="decimal" w:start="168"/>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ime new roman">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default"/>
        <w:lang w:val="en-US"/>
      </w:rPr>
    </w:pPr>
    <w:r>
      <w:rPr>
        <w:rFonts w:ascii="time new roman" w:hAnsi="time new roman" w:eastAsia="Calibri" w:cs="time new roman"/>
        <w:sz w:val="22"/>
        <w:szCs w:val="22"/>
        <w:lang w:val="en-US" w:eastAsia="en-US" w:bidi="ar-SA"/>
      </w:rPr>
      <w:pict>
        <v:line id="Line 32" o:spid="_x0000_s1027" style="position:absolute;left:0;margin-left:242.95pt;margin-top:7.6pt;height:0.45pt;width:200.5pt;rotation:0f;z-index:25169203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28" type="#_x0000_t185" style="position:absolute;left:0;margin-left:199.35pt;margin-top:-3.65pt;height:22.6pt;width:44.1pt;rotation:0f;z-index:251691008;"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29" style="position:absolute;left:0;margin-left:-0.7pt;margin-top:7.2pt;height:0.8pt;width:198.35pt;rotation:0f;z-index:251688960;" o:ole="f" fillcolor="#9CBEE0" filled="f" o:preferrelative="t" stroked="t" coordsize="21600,21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line>
      </w:pict>
    </w:r>
    <w:r>
      <w:rPr>
        <w:rFonts w:hint="default"/>
        <w:lang w:val="en-US"/>
      </w:rPr>
      <w:t>153</w:t>
    </w: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49" style="position:absolute;left:0;margin-left:244.3pt;margin-top:6.05pt;height:0.65pt;width:199.6pt;rotation:0f;z-index:25172787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50" type="#_x0000_t185" style="position:absolute;left:0;margin-left:199.35pt;margin-top:-3.65pt;height:22.6pt;width:44.1pt;rotation:0f;z-index:251714560;"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51" style="position:absolute;left:0;margin-left:-0.7pt;margin-top:7.2pt;height:0.8pt;width:198.35pt;rotation:0f;z-index:25170124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11" o:spid="_x0000_s1052" type="#_x0000_t202" style="position:absolute;left:0;margin-top:0pt;height:144pt;width:144pt;mso-position-horizontal:center;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158</w:t>
                </w:r>
                <w:r>
                  <w:rPr>
                    <w:sz w:val="22"/>
                    <w:szCs w:val="22"/>
                    <w:lang w:val="en-US"/>
                  </w:rPr>
                  <w:fldChar w:fldCharType="end"/>
                </w:r>
              </w:p>
            </w:txbxContent>
          </v:textbox>
        </v:shape>
      </w:pict>
    </w:r>
  </w:p>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53" style="position:absolute;left:0;margin-left:-0.7pt;margin-top:7.2pt;height:0.8pt;width:198.35pt;rotation:0f;z-index:25170227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12" o:spid="_x0000_s1054" type="#_x0000_t202" style="position:absolute;left:0;margin-top:0pt;height:144pt;width:144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159</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55" style="position:absolute;left:0;margin-left:244.3pt;margin-top:6.05pt;height:0.65pt;width:199.6pt;rotation:0f;z-index:25172889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56" type="#_x0000_t185" style="position:absolute;left:0;margin-left:199.35pt;margin-top:-3.65pt;height:22.6pt;width:44.1pt;rotation:0f;z-index:251715584;"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13" o:spid="_x0000_s1057" type="#_x0000_t202" style="position:absolute;left:0;margin-top:0pt;height:144pt;width:144pt;mso-position-horizontal:center;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14" o:spid="_x0000_s1058" type="#_x0000_t202" style="position:absolute;left:0;margin-top:0pt;height:144pt;width:144pt;mso-position-horizontal:center;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59" style="position:absolute;left:0;margin-left:244.3pt;margin-top:6.05pt;height:0.65pt;width:199.6pt;rotation:0f;z-index:25172992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60" type="#_x0000_t185" style="position:absolute;left:0;margin-left:199.35pt;margin-top:-3.65pt;height:22.6pt;width:44.1pt;rotation:0f;z-index:251716608;"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61" style="position:absolute;left:0;margin-left:-0.7pt;margin-top:7.2pt;height:0.8pt;width:198.35pt;rotation:0f;z-index:25170329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15" o:spid="_x0000_s1062" type="#_x0000_t202" style="position:absolute;left:0;margin-top:0pt;height:144pt;width:144pt;mso-position-horizontal:center;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160</w:t>
                </w:r>
                <w:r>
                  <w:rPr>
                    <w:sz w:val="22"/>
                    <w:szCs w:val="22"/>
                    <w:lang w:val="en-US"/>
                  </w:rPr>
                  <w:fldChar w:fldCharType="end"/>
                </w:r>
              </w:p>
            </w:txbxContent>
          </v:textbox>
        </v:shape>
      </w:pict>
    </w:r>
  </w:p>
  <w:p>
    <w:pPr>
      <w:pStyle w:val="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63" style="position:absolute;left:0;margin-left:-0.7pt;margin-top:7.2pt;height:0.8pt;width:198.35pt;rotation:0f;z-index:25170432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16" o:spid="_x0000_s1064" type="#_x0000_t202" style="position:absolute;left:0;margin-top:0pt;height:144pt;width:144pt;mso-position-horizontal:center;mso-position-horizontal-relative:margin;mso-wrap-style:none;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161</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65" style="position:absolute;left:0;margin-left:244.3pt;margin-top:6.05pt;height:0.65pt;width:199.6pt;rotation:0f;z-index:25173094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66" type="#_x0000_t185" style="position:absolute;left:0;margin-left:199.35pt;margin-top:-3.65pt;height:22.6pt;width:44.1pt;rotation:0f;z-index:251717632;"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17" o:spid="_x0000_s1067" type="#_x0000_t202" style="position:absolute;left:0;margin-top:0pt;height:144pt;width:144pt;mso-position-horizontal:center;mso-position-horizontal-relative:margin;mso-wrap-style:none;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18" o:spid="_x0000_s1068" type="#_x0000_t202" style="position:absolute;left:0;margin-top:0pt;height:144pt;width:144pt;mso-position-horizontal:center;mso-position-horizontal-relative:margin;mso-wrap-style:none;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69" style="position:absolute;left:0;margin-left:244.3pt;margin-top:6.05pt;height:0.65pt;width:199.6pt;rotation:0f;z-index:25173196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70" type="#_x0000_t185" style="position:absolute;left:0;margin-left:199.35pt;margin-top:-3.65pt;height:22.6pt;width:44.1pt;rotation:0f;z-index:251718656;"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71" style="position:absolute;left:0;margin-left:-0.7pt;margin-top:7.2pt;height:0.8pt;width:198.35pt;rotation:0f;z-index:25170534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19" o:spid="_x0000_s1072" type="#_x0000_t202" style="position:absolute;left:0;margin-top:0pt;height:144pt;width:144pt;mso-position-horizontal:center;mso-position-horizontal-relative:margin;mso-wrap-style:none;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162</w:t>
                </w:r>
                <w:r>
                  <w:rPr>
                    <w:sz w:val="22"/>
                    <w:szCs w:val="22"/>
                    <w:lang w:val="en-US"/>
                  </w:rPr>
                  <w:fldChar w:fldCharType="end"/>
                </w:r>
              </w:p>
            </w:txbxContent>
          </v:textbox>
        </v:shape>
      </w:pict>
    </w:r>
  </w:p>
  <w:p>
    <w:pPr>
      <w:pStyle w:val="2"/>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73" style="position:absolute;left:0;margin-left:-0.7pt;margin-top:7.2pt;height:0.8pt;width:198.35pt;rotation:0f;z-index:25170636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20" o:spid="_x0000_s1074" type="#_x0000_t202" style="position:absolute;left:0;margin-top:0pt;height:144pt;width:144pt;mso-position-horizontal:center;mso-position-horizontal-relative:margin;mso-wrap-style:none;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163</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75" style="position:absolute;left:0;margin-left:244.3pt;margin-top:6.05pt;height:0.65pt;width:199.6pt;rotation:0f;z-index:25173299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76" type="#_x0000_t185" style="position:absolute;left:0;margin-left:199.35pt;margin-top:-3.65pt;height:22.6pt;width:44.1pt;rotation:0f;z-index:251719680;"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30" style="position:absolute;left:0;margin-left:244.3pt;margin-top:6.05pt;height:0.65pt;width:199.6pt;rotation:0f;z-index:25169408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line id="Line 32" o:spid="_x0000_s1031" style="position:absolute;left:0;margin-left:-0.7pt;margin-top:7.2pt;height:0.8pt;width:198.35pt;rotation:0f;z-index:25169305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hint="default"/>
        <w:lang w:val="en-US"/>
      </w:rPr>
      <w:t>154</w:t>
    </w:r>
    <w:r>
      <w:rPr>
        <w:rFonts w:ascii="time new roman" w:hAnsi="time new roman" w:eastAsia="Calibri" w:cs="time new roman"/>
        <w:sz w:val="22"/>
        <w:szCs w:val="22"/>
        <w:lang w:val="en-US" w:eastAsia="en-US" w:bidi="ar-SA"/>
      </w:rPr>
      <w:pict>
        <v:shape id="Double Bracket 35" o:spid="_x0000_s1032" type="#_x0000_t185" style="position:absolute;left:0;margin-left:199.35pt;margin-top:-3.65pt;height:22.6pt;width:44.1pt;rotation:0f;z-index:251695104;"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21" o:spid="_x0000_s1077" type="#_x0000_t202" style="position:absolute;left:0;margin-top:0pt;height:144pt;width:144pt;mso-position-horizontal:center;mso-position-horizontal-relative:margin;mso-wrap-style:none;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22" o:spid="_x0000_s1078" type="#_x0000_t202" style="position:absolute;left:0;margin-top:0pt;height:144pt;width:144pt;mso-position-horizontal:center;mso-position-horizontal-relative:margin;mso-wrap-style:none;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79" style="position:absolute;left:0;margin-left:244.3pt;margin-top:6.05pt;height:0.65pt;width:199.6pt;rotation:0f;z-index:25173401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80" type="#_x0000_t185" style="position:absolute;left:0;margin-left:199.35pt;margin-top:-3.65pt;height:22.6pt;width:44.1pt;rotation:0f;z-index:251720704;"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81" style="position:absolute;left:0;margin-left:-0.7pt;margin-top:7.2pt;height:0.8pt;width:198.35pt;rotation:0f;z-index:25170739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23" o:spid="_x0000_s1082" type="#_x0000_t202" style="position:absolute;left:0;margin-top:0pt;height:144pt;width:144pt;mso-position-horizontal:center;mso-position-horizontal-relative:margin;mso-wrap-style:none;rotation:0f;z-index:2516797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164</w:t>
                </w:r>
                <w:r>
                  <w:rPr>
                    <w:sz w:val="22"/>
                    <w:szCs w:val="22"/>
                    <w:lang w:val="en-US"/>
                  </w:rPr>
                  <w:fldChar w:fldCharType="end"/>
                </w:r>
              </w:p>
            </w:txbxContent>
          </v:textbox>
        </v:shape>
      </w:pict>
    </w:r>
  </w:p>
  <w:p>
    <w:pPr>
      <w:pStyle w:val="2"/>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83" style="position:absolute;left:0;margin-left:-0.7pt;margin-top:7.2pt;height:0.8pt;width:198.35pt;rotation:0f;z-index:25170841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24" o:spid="_x0000_s1084" type="#_x0000_t202" style="position:absolute;left:0;margin-top:0pt;height:144pt;width:144pt;mso-position-horizontal:center;mso-position-horizontal-relative:margin;mso-wrap-style:none;rotation:0f;z-index:2516807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165</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85" style="position:absolute;left:0;margin-left:244.3pt;margin-top:6.05pt;height:0.65pt;width:199.6pt;rotation:0f;z-index:25173504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86" type="#_x0000_t185" style="position:absolute;left:0;margin-left:199.35pt;margin-top:-3.65pt;height:22.6pt;width:44.1pt;rotation:0f;z-index:251721728;"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25" o:spid="_x0000_s1087" type="#_x0000_t202" style="position:absolute;left:0;margin-top:0pt;height:144pt;width:144pt;mso-position-horizontal:center;mso-position-horizontal-relative:margin;mso-wrap-style:none;rotation:0f;z-index:2516817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26" o:spid="_x0000_s1088" type="#_x0000_t202" style="position:absolute;left:0;margin-top:0pt;height:144pt;width:144pt;mso-position-horizontal:center;mso-position-horizontal-relative:margin;mso-wrap-style:none;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79"/>
        <w:tab w:val="left" w:pos="4952"/>
      </w:tabs>
      <w:jc w:val="left"/>
    </w:pPr>
    <w:r>
      <w:rPr>
        <w:rFonts w:ascii="time new roman" w:hAnsi="time new roman" w:eastAsia="Calibri" w:cs="time new roman"/>
        <w:sz w:val="22"/>
        <w:szCs w:val="22"/>
        <w:lang w:val="en-US" w:eastAsia="en-US" w:bidi="ar-SA"/>
      </w:rPr>
      <w:pict>
        <v:line id="Line 32" o:spid="_x0000_s1089" style="position:absolute;left:0;margin-left:-0.7pt;margin-top:7.2pt;height:0.8pt;width:198.35pt;rotation:0f;z-index:25170944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27" o:spid="_x0000_s1090" type="#_x0000_t202" style="position:absolute;left:0;margin-top:0pt;height:144pt;width:144pt;mso-position-horizontal:center;mso-position-horizontal-relative:margin;mso-wrap-style:none;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166</w:t>
                </w:r>
                <w:r>
                  <w:rPr>
                    <w:sz w:val="22"/>
                    <w:szCs w:val="22"/>
                    <w:lang w:val="en-US"/>
                  </w:rPr>
                  <w:fldChar w:fldCharType="end"/>
                </w:r>
              </w:p>
            </w:txbxContent>
          </v:textbox>
        </v:shape>
      </w:pict>
    </w:r>
    <w:r>
      <w:rPr>
        <w:sz w:val="22"/>
        <w:lang w:val="en-US"/>
      </w:rPr>
      <w:tab/>
    </w:r>
    <w:r>
      <w:rPr>
        <w:lang w:val="en-US"/>
      </w:rPr>
      <w:tab/>
    </w:r>
    <w:r>
      <w:rPr>
        <w:rFonts w:ascii="time new roman" w:hAnsi="time new roman" w:eastAsia="Calibri" w:cs="time new roman"/>
        <w:sz w:val="22"/>
        <w:szCs w:val="22"/>
        <w:lang w:val="en-US" w:eastAsia="en-US" w:bidi="ar-SA"/>
      </w:rPr>
      <w:pict>
        <v:line id="Line 32" o:spid="_x0000_s1091" style="position:absolute;left:0;margin-left:244.3pt;margin-top:6.05pt;height:0.65pt;width:199.6pt;rotation:0f;z-index:25173606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92" type="#_x0000_t185" style="position:absolute;left:0;margin-left:199.35pt;margin-top:-3.65pt;height:22.6pt;width:44.1pt;rotation:0f;z-index:251722752;"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93" style="position:absolute;left:0;margin-left:-0.7pt;margin-top:7.2pt;height:0.8pt;width:198.35pt;rotation:0f;z-index:25171046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28" o:spid="_x0000_s1094" type="#_x0000_t202" style="position:absolute;left:0;margin-top:0pt;height:144pt;width:144pt;mso-position-horizontal:center;mso-position-horizontal-relative:margin;mso-wrap-style:none;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167</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95" style="position:absolute;left:0;margin-left:244.3pt;margin-top:6.05pt;height:0.65pt;width:199.6pt;rotation:0f;z-index:25173708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96" type="#_x0000_t185" style="position:absolute;left:0;margin-left:199.35pt;margin-top:-3.65pt;height:22.6pt;width:44.1pt;rotation:0f;z-index:251723776;"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29" o:spid="_x0000_s1097" type="#_x0000_t202" style="position:absolute;left:0;margin-top:0pt;height:144pt;width:144pt;mso-position-horizontal:center;mso-position-horizontal-relative:margin;mso-wrap-style:none;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30" o:spid="_x0000_s1098" type="#_x0000_t202" style="position:absolute;left:0;margin-top:0pt;height:144pt;width:144pt;mso-position-horizontal:center;mso-position-horizontal-relative:margin;mso-wrap-style:none;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left" w:pos="4969"/>
        <w:tab w:val="clear" w:pos="4680"/>
      </w:tabs>
      <w:jc w:val="both"/>
      <w:rPr>
        <w:rFonts w:hint="default"/>
        <w:sz w:val="22"/>
        <w:szCs w:val="22"/>
        <w:lang w:val="en-US"/>
      </w:rPr>
    </w:pPr>
    <w:r>
      <w:rPr>
        <w:rFonts w:ascii="time new roman" w:hAnsi="time new roman" w:eastAsia="Calibri" w:cs="time new roman"/>
        <w:sz w:val="22"/>
        <w:szCs w:val="22"/>
        <w:lang w:val="en-US" w:eastAsia="en-US" w:bidi="ar-SA"/>
      </w:rPr>
      <w:pict>
        <v:shape id="Double Bracket 35" o:spid="_x0000_s1033" type="#_x0000_t185" style="position:absolute;left:0;margin-left:199.35pt;margin-top:-3.65pt;height:22.6pt;width:44.1pt;rotation:0f;z-index:251697152;"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034" style="position:absolute;left:0;margin-left:-0.7pt;margin-top:7.2pt;height:0.8pt;width:198.35pt;rotation:0f;z-index:25169612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4" o:spid="_x0000_s1035"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3</w:t>
                </w:r>
                <w:r>
                  <w:rPr>
                    <w:sz w:val="22"/>
                    <w:szCs w:val="22"/>
                    <w:lang w:val="en-US"/>
                  </w:rPr>
                  <w:fldChar w:fldCharType="end"/>
                </w:r>
              </w:p>
            </w:txbxContent>
          </v:textbox>
        </v:shape>
      </w:pict>
    </w:r>
    <w:r>
      <w:rPr>
        <w:rFonts w:hint="default"/>
        <w:sz w:val="22"/>
        <w:szCs w:val="22"/>
        <w:lang w:val="en-US"/>
      </w:rPr>
      <w:tab/>
    </w:r>
    <w:r>
      <w:rPr>
        <w:rFonts w:ascii="time new roman" w:hAnsi="time new roman" w:eastAsia="Calibri" w:cs="time new roman"/>
        <w:sz w:val="22"/>
        <w:szCs w:val="22"/>
        <w:lang w:val="en-US" w:eastAsia="en-US" w:bidi="ar-SA"/>
      </w:rPr>
      <w:pict>
        <v:line id="Line 32" o:spid="_x0000_s1036" style="position:absolute;left:0;margin-left:244.3pt;margin-top:6.05pt;height:0.65pt;width:199.6pt;rotation:0f;z-index:251698176;"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p>
  <w:p>
    <w:pPr>
      <w:pStyle w:val="2"/>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line id="Line 32" o:spid="_x0000_s1099" style="position:absolute;left:0;margin-left:244.3pt;margin-top:6.05pt;height:0.65pt;width:199.6pt;rotation:0f;z-index:251738112;"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100" type="#_x0000_t185" style="position:absolute;left:0;margin-left:199.35pt;margin-top:-3.65pt;height:22.6pt;width:44.1pt;rotation:0f;z-index:251724800;"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r>
      <w:rPr>
        <w:rFonts w:ascii="time new roman" w:hAnsi="time new roman" w:eastAsia="Calibri" w:cs="time new roman"/>
        <w:sz w:val="22"/>
        <w:szCs w:val="22"/>
        <w:lang w:val="en-US" w:eastAsia="en-US" w:bidi="ar-SA"/>
      </w:rPr>
      <w:pict>
        <v:line id="Line 32" o:spid="_x0000_s1101" style="position:absolute;left:0;margin-left:-0.7pt;margin-top:7.2pt;height:0.8pt;width:198.35pt;rotation:0f;z-index:25171148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31" o:spid="_x0000_s1102" type="#_x0000_t202" style="position:absolute;left:0;margin-top:0pt;height:144pt;width:144pt;mso-position-horizontal:center;mso-position-horizontal-relative:margin;mso-wrap-style:none;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168</w:t>
                </w:r>
                <w:r>
                  <w:rPr>
                    <w:sz w:val="22"/>
                    <w:szCs w:val="22"/>
                    <w:lang w:val="en-US"/>
                  </w:rPr>
                  <w:fldChar w:fldCharType="end"/>
                </w:r>
              </w:p>
            </w:txbxContent>
          </v:textbox>
        </v:shape>
      </w:pic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5" o:spid="_x0000_s1037"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r>
      <w:rPr>
        <w:rFonts w:hint="default"/>
        <w:lang w:val="en-US"/>
      </w:rPr>
      <w:t>154</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default"/>
        <w:lang w:val="en-US"/>
      </w:rPr>
    </w:pPr>
    <w:r>
      <w:rPr>
        <w:rFonts w:ascii="time new roman" w:hAnsi="time new roman" w:eastAsia="Calibri" w:cs="time new roman"/>
        <w:sz w:val="22"/>
        <w:szCs w:val="22"/>
        <w:lang w:val="en-US" w:eastAsia="en-US" w:bidi="ar-SA"/>
      </w:rPr>
      <w:pict>
        <v:shape id="Text Box 6" o:spid="_x0000_s1038"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r>
      <w:rPr>
        <w:rFonts w:hint="default"/>
        <w:lang w:val="en-US"/>
      </w:rPr>
      <w:t>153</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left" w:pos="2836"/>
        <w:tab w:val="center" w:pos="4479"/>
      </w:tabs>
      <w:jc w:val="left"/>
    </w:pPr>
    <w:r>
      <w:rPr>
        <w:rFonts w:ascii="time new roman" w:hAnsi="time new roman" w:eastAsia="Calibri" w:cs="time new roman"/>
        <w:sz w:val="22"/>
        <w:szCs w:val="22"/>
        <w:lang w:val="en-US" w:eastAsia="en-US" w:bidi="ar-SA"/>
      </w:rPr>
      <w:pict>
        <v:shape id="Text Box 7" o:spid="_x0000_s1039"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156</w:t>
                </w:r>
                <w:r>
                  <w:rPr>
                    <w:sz w:val="22"/>
                    <w:szCs w:val="22"/>
                    <w:lang w:val="en-US"/>
                  </w:rPr>
                  <w:fldChar w:fldCharType="end"/>
                </w:r>
              </w:p>
            </w:txbxContent>
          </v:textbox>
        </v:shape>
      </w:pict>
    </w:r>
    <w:r>
      <w:rPr>
        <w:sz w:val="22"/>
        <w:lang w:val="en-US"/>
      </w:rPr>
      <w:tab/>
    </w:r>
    <w:r>
      <w:rPr>
        <w:rFonts w:ascii="time new roman" w:hAnsi="time new roman" w:eastAsia="Calibri" w:cs="time new roman"/>
        <w:sz w:val="22"/>
        <w:szCs w:val="22"/>
        <w:lang w:val="en-US" w:eastAsia="en-US" w:bidi="ar-SA"/>
      </w:rPr>
      <w:pict>
        <v:line id="Line 32" o:spid="_x0000_s1040" style="position:absolute;left:0;margin-left:-0.7pt;margin-top:7.2pt;height:0.8pt;width:198.35pt;rotation:0f;z-index:25170022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lang w:val="en-US"/>
      </w:rPr>
      <w:tab/>
    </w:r>
    <w:r>
      <w:rPr>
        <w:rFonts w:ascii="time new roman" w:hAnsi="time new roman" w:eastAsia="Calibri" w:cs="time new roman"/>
        <w:sz w:val="22"/>
        <w:szCs w:val="22"/>
        <w:lang w:val="en-US" w:eastAsia="en-US" w:bidi="ar-SA"/>
      </w:rPr>
      <w:pict>
        <v:line id="Line 32" o:spid="_x0000_s1041" style="position:absolute;left:0;margin-left:244.3pt;margin-top:6.05pt;height:0.65pt;width:199.6pt;rotation:0f;z-index:251725824;"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42" type="#_x0000_t185" style="position:absolute;left:0;margin-left:199.35pt;margin-top:-3.65pt;height:22.6pt;width:44.1pt;rotation:0f;z-index:251712512;"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4419"/>
        <w:tab w:val="clear" w:pos="4680"/>
      </w:tabs>
      <w:jc w:val="both"/>
      <w:rPr>
        <w:rFonts w:hint="default"/>
        <w:lang w:val="en-US"/>
      </w:rPr>
    </w:pPr>
    <w:r>
      <w:rPr>
        <w:rFonts w:ascii="time new roman" w:hAnsi="time new roman" w:eastAsia="Calibri" w:cs="time new roman"/>
        <w:sz w:val="22"/>
        <w:szCs w:val="22"/>
        <w:lang w:val="en-US" w:eastAsia="en-US" w:bidi="ar-SA"/>
      </w:rPr>
      <w:pict>
        <v:line id="Line 32" o:spid="_x0000_s1043" style="position:absolute;left:0;margin-left:-0.7pt;margin-top:7.2pt;height:0.8pt;width:198.35pt;rotation:0f;z-index:251699200;"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Text Box 8" o:spid="_x0000_s1044" type="#_x0000_t202" style="position:absolute;left:0;margin-top:0pt;height:144pt;width:144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rPr>
                  <w:t>157</w:t>
                </w:r>
                <w:r>
                  <w:rPr>
                    <w:sz w:val="22"/>
                    <w:szCs w:val="22"/>
                    <w:lang w:val="en-US"/>
                  </w:rPr>
                  <w:fldChar w:fldCharType="end"/>
                </w:r>
              </w:p>
            </w:txbxContent>
          </v:textbox>
        </v:shape>
      </w:pict>
    </w:r>
    <w:r>
      <w:rPr>
        <w:rFonts w:hint="default"/>
        <w:lang w:val="en-US"/>
      </w:rPr>
      <w:tab/>
    </w:r>
    <w:r>
      <w:rPr>
        <w:rFonts w:ascii="time new roman" w:hAnsi="time new roman" w:eastAsia="Calibri" w:cs="time new roman"/>
        <w:sz w:val="22"/>
        <w:szCs w:val="22"/>
        <w:lang w:val="en-US" w:eastAsia="en-US" w:bidi="ar-SA"/>
      </w:rPr>
      <w:pict>
        <v:line id="Line 32" o:spid="_x0000_s1045" style="position:absolute;left:0;margin-left:244.3pt;margin-top:6.05pt;height:0.65pt;width:199.6pt;rotation:0f;z-index:251726848;" o:ole="f" fillcolor="#FFFFFF" filled="f" o:preferrelative="t" stroked="t" coordsize="21600,21600">
          <v:fill on="f" color2="#FFFFFF" focus="0%"/>
          <v:stroke weight="1.25pt" color="#808080" color2="#FFFFFF" miterlimit="2"/>
          <v:imagedata gain="65536f" blacklevel="0f" gamma="0"/>
          <o:lock v:ext="edit" position="f" selection="f" grouping="f" rotation="f" cropping="f" text="f" aspectratio="f"/>
        </v:line>
      </w:pict>
    </w:r>
    <w:r>
      <w:rPr>
        <w:rFonts w:ascii="time new roman" w:hAnsi="time new roman" w:eastAsia="Calibri" w:cs="time new roman"/>
        <w:sz w:val="22"/>
        <w:szCs w:val="22"/>
        <w:lang w:val="en-US" w:eastAsia="en-US" w:bidi="ar-SA"/>
      </w:rPr>
      <w:pict>
        <v:shape id="Double Bracket 35" o:spid="_x0000_s1046" type="#_x0000_t185" style="position:absolute;left:0;margin-left:199.35pt;margin-top:-3.65pt;height:22.6pt;width:44.1pt;rotation:0f;z-index:251713536;" o:ole="f" fillcolor="#9CBEE0" filled="f" o:preferrelative="t" stroked="t" coordorigin="0,0" coordsize="21600,21600" adj="3600">
          <v:fill type="gradient" on="f" color2="#BBD5F0" focus="0%" focussize="0f,0f" focusposition="0f,0f">
            <o:fill type="gradientUnscaled" v:ext="backwardCompatible"/>
          </v:fill>
          <v:stroke weight="1.25pt" color="#808080" color2="#FFFFFF" miterlimit="2"/>
          <v:imagedata gain="65536f" blacklevel="0f" gamma="0"/>
          <o:lock v:ext="edit" position="f" selection="f" grouping="f" rotation="f" cropping="f" text="f" aspectratio="f"/>
        </v:shape>
      </w:pict>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 new roman" w:hAnsi="time new roman" w:eastAsia="Calibri" w:cs="time new roman"/>
        <w:sz w:val="22"/>
        <w:szCs w:val="22"/>
        <w:lang w:val="en-US" w:eastAsia="en-US" w:bidi="ar-SA"/>
      </w:rPr>
      <w:pict>
        <v:shape id="Text Box 9" o:spid="_x0000_s1047" type="#_x0000_t202" style="position:absolute;left:0;margin-top:0pt;height:144pt;width:144pt;mso-position-horizontal:center;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default"/>
        <w:lang w:val="en-US"/>
      </w:rPr>
    </w:pPr>
    <w:r>
      <w:rPr>
        <w:rFonts w:ascii="time new roman" w:hAnsi="time new roman" w:eastAsia="Calibri" w:cs="time new roman"/>
        <w:sz w:val="22"/>
        <w:szCs w:val="22"/>
        <w:lang w:val="en-US" w:eastAsia="en-US" w:bidi="ar-SA"/>
      </w:rPr>
      <w:pict>
        <v:shape id="Text Box 10" o:spid="_x0000_s1048" type="#_x0000_t202" style="position:absolute;left:0;margin-top:0pt;height:144pt;width:144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3"/>
      </w:pPr>
      <w:r>
        <w:rPr>
          <w:rStyle w:val="6"/>
        </w:rPr>
        <w:footnoteRef/>
      </w:r>
      <w:r>
        <w:t xml:space="preserve"> Mahasiswa Program S1 Hubungan Internasional, Fakultas Ilmu Sosial dan Ilmu Politik, Universitas Mulawarman. Email: </w:t>
      </w:r>
      <w:r>
        <w:rPr>
          <w:rFonts w:hint="default"/>
          <w:lang w:val="en-US"/>
        </w:rPr>
        <w:t>natalieestrell</w:t>
      </w:r>
      <w:r>
        <w:t>a</w:t>
      </w:r>
      <w:r>
        <w:rPr>
          <w:rFonts w:hint="default"/>
          <w:lang w:val="en-US"/>
        </w:rPr>
        <w:t>984.en</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hanging="142"/>
      <w:rPr>
        <w:b/>
        <w:sz w:val="20"/>
        <w:szCs w:val="20"/>
      </w:rPr>
    </w:pPr>
    <w:r>
      <w:rPr>
        <w:b/>
        <w:i/>
        <w:color w:val="0C0C0C"/>
        <w:sz w:val="20"/>
        <w:szCs w:val="20"/>
      </w:rPr>
      <w:t>eJournal Ilmu Hubungan Internasional, Vol</w:t>
    </w:r>
    <w:r>
      <w:rPr>
        <w:rFonts w:hint="default"/>
        <w:b/>
        <w:i/>
        <w:color w:val="0C0C0C"/>
        <w:sz w:val="20"/>
        <w:szCs w:val="20"/>
        <w:lang w:val="en-US"/>
      </w:rPr>
      <w:t xml:space="preserve">.10   </w:t>
    </w:r>
    <w:r>
      <w:rPr>
        <w:b/>
        <w:i/>
        <w:color w:val="0C0C0C"/>
        <w:sz w:val="20"/>
        <w:szCs w:val="20"/>
      </w:rPr>
      <w:t xml:space="preserve"> No.</w:t>
    </w:r>
    <w:r>
      <w:rPr>
        <w:rFonts w:hint="default"/>
        <w:b/>
        <w:i/>
        <w:color w:val="0C0C0C"/>
        <w:sz w:val="20"/>
        <w:szCs w:val="20"/>
        <w:lang w:val="en-US"/>
      </w:rPr>
      <w:t>1, (2022)</w:t>
    </w:r>
    <w:r>
      <w:rPr>
        <w:b/>
        <w:color w:val="0C0C0C"/>
        <w:sz w:val="20"/>
        <w:szCs w:val="20"/>
      </w:rPr>
      <w:t xml:space="preserve">  </w:t>
    </w:r>
    <w:r>
      <w:rPr>
        <w:b/>
        <w:sz w:val="20"/>
        <w:szCs w:val="20"/>
      </w:rPr>
      <w:tab/>
    </w:r>
    <w:r>
      <w:rPr>
        <w:b/>
        <w:i/>
        <w:sz w:val="20"/>
        <w:szCs w:val="20"/>
      </w:rPr>
      <w:t>ISSN: 2477-</w:t>
    </w:r>
    <w:r>
      <w:rPr>
        <w:rFonts w:hint="default"/>
        <w:b/>
        <w:i/>
        <w:sz w:val="20"/>
        <w:szCs w:val="20"/>
        <w:lang w:val="en-US"/>
      </w:rPr>
      <w:t>2623</w:t>
    </w:r>
  </w:p>
  <w:p>
    <w:pPr>
      <w:pStyle w:val="4"/>
      <w:rPr>
        <w:b/>
        <w:sz w:val="20"/>
        <w:szCs w:val="20"/>
      </w:rPr>
    </w:pPr>
    <w:r>
      <w:rPr>
        <w:rFonts w:ascii="time new roman" w:hAnsi="time new roman" w:eastAsia="Calibri" w:cs="time new roman"/>
        <w:b/>
        <w:sz w:val="20"/>
        <w:szCs w:val="20"/>
        <w:lang w:val="en-US" w:eastAsia="en-US" w:bidi="ar-SA"/>
      </w:rPr>
      <w:pict>
        <v:line id="Straight Connector 1" o:spid="_x0000_s1025" style="position:absolute;left:0;flip:y;margin-left:-12.2pt;margin-top:1.6pt;height:1.65pt;width:493.1pt;rotation:0f;z-index:251658240;" o:ole="f" fillcolor="#FFFFFF" filled="f" o:preferrelative="t" stroked="t" coordsize="21600,21600">
          <v:fill on="f" color2="#FFFFFF" focus="0%"/>
          <v:stroke weight="2.25pt" color="#000000" color2="#FFFFFF" miterlimit="2"/>
          <v:imagedata gain="65536f" blacklevel="0f" gamma="0"/>
          <o:lock v:ext="edit" position="f" selection="f" grouping="f" rotation="f" cropping="f" text="f" aspectratio="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b/>
        <w:i/>
        <w:sz w:val="20"/>
        <w:szCs w:val="20"/>
      </w:rPr>
    </w:pPr>
    <w:r>
      <w:rPr>
        <w:rFonts w:ascii="time new roman" w:hAnsi="time new roman" w:eastAsia="Calibri" w:cs="time new roman"/>
        <w:b/>
        <w:i/>
        <w:sz w:val="20"/>
        <w:szCs w:val="20"/>
        <w:lang w:val="en-US" w:eastAsia="en-US" w:bidi="ar-SA"/>
      </w:rPr>
      <w:pict>
        <v:line id="Straight Connector 2" o:spid="_x0000_s1026" style="position:absolute;left:0;flip:y;margin-left:-3pt;margin-top:11.45pt;height:1.65pt;width:450.4pt;rotation:0f;z-index:251659264;" o:ole="f" fillcolor="#FFFFFF" filled="f" o:preferrelative="t" stroked="t" coordsize="21600,21600">
          <v:fill on="f" color2="#FFFFFF" focus="0%"/>
          <v:stroke weight="2.25pt" color="#000000" color2="#FFFFFF" miterlimit="2"/>
          <v:imagedata gain="65536f" blacklevel="0f" gamma="0"/>
          <o:lock v:ext="edit" position="f" selection="f" grouping="f" rotation="f" cropping="f" text="f" aspectratio="f"/>
        </v:line>
      </w:pict>
    </w:r>
    <w:r>
      <w:rPr>
        <w:rFonts w:hint="default"/>
        <w:b/>
        <w:i/>
        <w:sz w:val="20"/>
        <w:szCs w:val="20"/>
        <w:lang w:val="en-US"/>
      </w:rPr>
      <w:t>Estrella Natalie Indahwati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9409144">
    <w:nsid w:val="624FFC78"/>
    <w:multiLevelType w:val="singleLevel"/>
    <w:tmpl w:val="624FFC78"/>
    <w:lvl w:ilvl="0" w:tentative="1">
      <w:start w:val="1"/>
      <w:numFmt w:val="upperLetter"/>
      <w:suff w:val="space"/>
      <w:lvlText w:val="%1."/>
      <w:lvlJc w:val="left"/>
    </w:lvl>
  </w:abstractNum>
  <w:abstractNum w:abstractNumId="1649513611">
    <w:nsid w:val="6251948B"/>
    <w:multiLevelType w:val="singleLevel"/>
    <w:tmpl w:val="6251948B"/>
    <w:lvl w:ilvl="0" w:tentative="1">
      <w:start w:val="1"/>
      <w:numFmt w:val="lowerLetter"/>
      <w:suff w:val="space"/>
      <w:lvlText w:val="%1."/>
      <w:lvlJc w:val="left"/>
    </w:lvl>
  </w:abstractNum>
  <w:num w:numId="1">
    <w:abstractNumId w:val="1649409144"/>
  </w:num>
  <w:num w:numId="2">
    <w:abstractNumId w:val="1649513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 w:hAnsi="time new roman" w:eastAsia="SimSun" w:cs="time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time new roman" w:hAnsi="time new roman" w:eastAsia="Calibri" w:cs="time new roman"/>
      <w:sz w:val="22"/>
      <w:szCs w:val="22"/>
      <w:lang w:val="en-US" w:eastAsia="en-US" w:bidi="ar-SA"/>
    </w:rPr>
  </w:style>
  <w:style w:type="character" w:default="1" w:styleId="5">
    <w:name w:val="Default Paragraph Font"/>
    <w:semiHidden/>
    <w:unhideWhenUsed/>
    <w:uiPriority w:val="1"/>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footnote text"/>
    <w:basedOn w:val="1"/>
    <w:link w:val="9"/>
    <w:semiHidden/>
    <w:unhideWhenUsed/>
    <w:uiPriority w:val="99"/>
    <w:pPr>
      <w:spacing w:after="0" w:line="240" w:lineRule="auto"/>
    </w:pPr>
    <w:rPr>
      <w:sz w:val="20"/>
      <w:szCs w:val="20"/>
    </w:rPr>
  </w:style>
  <w:style w:type="paragraph" w:styleId="4">
    <w:name w:val="header"/>
    <w:basedOn w:val="1"/>
    <w:link w:val="10"/>
    <w:unhideWhenUsed/>
    <w:uiPriority w:val="99"/>
    <w:pPr>
      <w:tabs>
        <w:tab w:val="center" w:pos="4680"/>
        <w:tab w:val="right" w:pos="9360"/>
      </w:tabs>
      <w:spacing w:after="0" w:line="240" w:lineRule="auto"/>
    </w:pPr>
  </w:style>
  <w:style w:type="character" w:styleId="6">
    <w:name w:val="footnote reference"/>
    <w:basedOn w:val="5"/>
    <w:semiHidden/>
    <w:unhideWhenUsed/>
    <w:uiPriority w:val="99"/>
    <w:rPr>
      <w:vertAlign w:val="superscript"/>
    </w:rPr>
  </w:style>
  <w:style w:type="character" w:styleId="7">
    <w:name w:val="Hyperlink"/>
    <w:basedOn w:val="5"/>
    <w:unhideWhenUsed/>
    <w:uiPriority w:val="99"/>
    <w:rPr>
      <w:color w:val="0000FF"/>
      <w:u w:val="single"/>
    </w:rPr>
  </w:style>
  <w:style w:type="paragraph" w:customStyle="1" w:styleId="8">
    <w:name w:val="List Paragraph"/>
    <w:basedOn w:val="1"/>
    <w:qFormat/>
    <w:uiPriority w:val="34"/>
    <w:pPr>
      <w:ind w:left="720"/>
      <w:contextualSpacing/>
    </w:pPr>
  </w:style>
  <w:style w:type="character" w:customStyle="1" w:styleId="9">
    <w:name w:val="Footnote Text Char"/>
    <w:basedOn w:val="5"/>
    <w:link w:val="3"/>
    <w:semiHidden/>
    <w:uiPriority w:val="99"/>
    <w:rPr>
      <w:sz w:val="20"/>
      <w:szCs w:val="20"/>
    </w:rPr>
  </w:style>
  <w:style w:type="character" w:customStyle="1" w:styleId="10">
    <w:name w:val="Header Char"/>
    <w:basedOn w:val="5"/>
    <w:link w:val="4"/>
    <w:uiPriority w:val="99"/>
    <w:rPr/>
  </w:style>
  <w:style w:type="character" w:customStyle="1" w:styleId="11">
    <w:name w:val="Footer Char"/>
    <w:basedOn w:val="5"/>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 Type="http://schemas.openxmlformats.org/officeDocument/2006/relationships/styles" Target="styles.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 Type="http://schemas.openxmlformats.org/officeDocument/2006/relationships/settings" Target="settings.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theme" Target="theme/theme1.xml"/><Relationship Id="rId38" Type="http://schemas.openxmlformats.org/officeDocument/2006/relationships/image" Target="media/image1.png"/><Relationship Id="rId39" Type="http://schemas.openxmlformats.org/officeDocument/2006/relationships/customXml" Target="../customXml/item1.xml"/><Relationship Id="rId4" Type="http://schemas.openxmlformats.org/officeDocument/2006/relationships/footnotes" Target="footnotes.xml"/><Relationship Id="rId40" Type="http://schemas.openxmlformats.org/officeDocument/2006/relationships/numbering" Target="numbering.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35" textRotate="1"/>
    <customShpInfo spid="_x0000_s1037" textRotate="1"/>
    <customShpInfo spid="_x0000_s1038" textRotate="1"/>
    <customShpInfo spid="_x0000_s1039" textRotate="1"/>
    <customShpInfo spid="_x0000_s1044" textRotate="1"/>
    <customShpInfo spid="_x0000_s1047" textRotate="1"/>
    <customShpInfo spid="_x0000_s1048" textRotate="1"/>
    <customShpInfo spid="_x0000_s1052" textRotate="1"/>
    <customShpInfo spid="_x0000_s1054" textRotate="1"/>
    <customShpInfo spid="_x0000_s1057" textRotate="1"/>
    <customShpInfo spid="_x0000_s1058" textRotate="1"/>
    <customShpInfo spid="_x0000_s1062" textRotate="1"/>
    <customShpInfo spid="_x0000_s1064" textRotate="1"/>
    <customShpInfo spid="_x0000_s1067" textRotate="1"/>
    <customShpInfo spid="_x0000_s1068" textRotate="1"/>
    <customShpInfo spid="_x0000_s1072" textRotate="1"/>
    <customShpInfo spid="_x0000_s1074" textRotate="1"/>
    <customShpInfo spid="_x0000_s1077" textRotate="1"/>
    <customShpInfo spid="_x0000_s1078" textRotate="1"/>
    <customShpInfo spid="_x0000_s1082" textRotate="1"/>
    <customShpInfo spid="_x0000_s1084" textRotate="1"/>
    <customShpInfo spid="_x0000_s1087" textRotate="1"/>
    <customShpInfo spid="_x0000_s1088" textRotate="1"/>
    <customShpInfo spid="_x0000_s1090" textRotate="1"/>
    <customShpInfo spid="_x0000_s1094" textRotate="1"/>
    <customShpInfo spid="_x0000_s1097" textRotate="1"/>
    <customShpInfo spid="_x0000_s1098" textRotate="1"/>
    <customShpInfo spid="_x0000_s1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4596</Words>
  <Characters>26203</Characters>
  <Lines>218</Lines>
  <Paragraphs>61</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2021-12-12T11:57:00Z</dcterms:created>
  <dc:creator>lenovo</dc:creator>
  <cp:lastModifiedBy>ASUS</cp:lastModifiedBy>
  <cp:lastPrinted>2022-01-07T02:15:00Z</cp:lastPrinted>
  <dcterms:modified xsi:type="dcterms:W3CDTF">2022-05-24T05:23:45Z</dcterms:modified>
  <dc:title>IMPLEMENTASI PERJANJIAN SAFE THIRD COUNTRY ANTARA AMERIKA SERIKAT DAN GUATEMALA (2019–2020) PADA MASA PEMERINTAHAN TRUMP</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